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C52B3" w:rsidR="00AB5885" w:rsidP="07F74CA1" w:rsidRDefault="00AB5885" w14:paraId="13351D87" w14:textId="0A949CD3">
      <w:pPr>
        <w:pStyle w:val="paragraph"/>
        <w:spacing w:before="0" w:beforeAutospacing="off" w:after="0" w:afterAutospacing="off"/>
        <w:textAlignment w:val="baseline"/>
        <w:rPr>
          <w:rFonts w:ascii="Aptos" w:hAnsi="Aptos" w:cs="Segoe UI"/>
          <w:sz w:val="28"/>
          <w:szCs w:val="28"/>
        </w:rPr>
      </w:pPr>
      <w:r w:rsidRPr="07F74CA1" w:rsidR="00AB5885">
        <w:rPr>
          <w:rStyle w:val="normaltextrun"/>
          <w:rFonts w:ascii="Aptos" w:hAnsi="Aptos" w:eastAsia="" w:cs="Segoe UI" w:eastAsiaTheme="majorEastAsia"/>
          <w:b w:val="1"/>
          <w:bCs w:val="1"/>
          <w:sz w:val="28"/>
          <w:szCs w:val="28"/>
        </w:rPr>
        <w:t xml:space="preserve">SAMPLE VAWG RISK MITIGATION INDICATORS </w:t>
      </w:r>
      <w:r w:rsidRPr="07F74CA1" w:rsidR="00AB5885">
        <w:rPr>
          <w:rStyle w:val="normaltextrun"/>
          <w:rFonts w:ascii="Aptos" w:hAnsi="Aptos" w:eastAsia="" w:cs="Segoe UI" w:eastAsiaTheme="majorEastAsia"/>
          <w:b w:val="1"/>
          <w:bCs w:val="1"/>
          <w:sz w:val="28"/>
          <w:szCs w:val="28"/>
        </w:rPr>
        <w:t>–</w:t>
      </w:r>
      <w:r w:rsidRPr="07F74CA1" w:rsidR="00AB5885">
        <w:rPr>
          <w:rStyle w:val="normaltextrun"/>
          <w:rFonts w:ascii="Aptos" w:hAnsi="Aptos" w:eastAsia="" w:cs="Segoe UI" w:eastAsiaTheme="majorEastAsia"/>
          <w:b w:val="1"/>
          <w:bCs w:val="1"/>
          <w:sz w:val="28"/>
          <w:szCs w:val="28"/>
        </w:rPr>
        <w:t xml:space="preserve"> </w:t>
      </w:r>
      <w:r w:rsidRPr="07F74CA1" w:rsidR="00AB5885">
        <w:rPr>
          <w:rStyle w:val="normaltextrun"/>
          <w:rFonts w:ascii="Aptos" w:hAnsi="Aptos" w:eastAsia="" w:cs="Segoe UI" w:eastAsiaTheme="majorEastAsia"/>
          <w:b w:val="1"/>
          <w:bCs w:val="1"/>
          <w:sz w:val="28"/>
          <w:szCs w:val="28"/>
        </w:rPr>
        <w:t>SECTOR-SPECIFIC</w:t>
      </w:r>
      <w:r w:rsidRPr="07F74CA1" w:rsidR="00AB5885">
        <w:rPr>
          <w:rStyle w:val="eop"/>
          <w:rFonts w:ascii="Aptos" w:hAnsi="Aptos" w:eastAsia="" w:cs="Segoe UI" w:eastAsiaTheme="majorEastAsia"/>
          <w:sz w:val="28"/>
          <w:szCs w:val="28"/>
        </w:rPr>
        <w:t> </w:t>
      </w:r>
    </w:p>
    <w:p w:rsidRPr="005C52B3" w:rsidR="00AB5885" w:rsidP="00AB5885" w:rsidRDefault="00AB5885" w14:paraId="77BA883A" w14:textId="325244BC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i/>
          <w:iCs/>
        </w:rPr>
      </w:pPr>
      <w:r w:rsidRPr="005C52B3">
        <w:rPr>
          <w:rStyle w:val="normaltextrun"/>
          <w:rFonts w:ascii="Aptos" w:hAnsi="Aptos" w:cs="Segoe UI" w:eastAsiaTheme="majorEastAsia"/>
          <w:i/>
          <w:iCs/>
        </w:rPr>
        <w:t xml:space="preserve">Source: </w:t>
      </w:r>
      <w:r w:rsidRPr="005C52B3">
        <w:rPr>
          <w:rStyle w:val="normaltextrun"/>
          <w:rFonts w:ascii="Aptos" w:hAnsi="Aptos" w:cs="Segoe UI" w:eastAsiaTheme="majorEastAsia"/>
          <w:i/>
          <w:iCs/>
        </w:rPr>
        <w:t xml:space="preserve">GBV Guidelines, </w:t>
      </w:r>
      <w:r w:rsidRPr="005C52B3">
        <w:rPr>
          <w:rStyle w:val="normaltextrun"/>
          <w:rFonts w:ascii="Aptos" w:hAnsi="Aptos" w:cs="Segoe UI" w:eastAsiaTheme="majorEastAsia"/>
          <w:i/>
          <w:iCs/>
        </w:rPr>
        <w:t>CARE</w:t>
      </w:r>
      <w:r w:rsidRPr="005C52B3">
        <w:rPr>
          <w:rStyle w:val="eop"/>
          <w:rFonts w:ascii="Aptos" w:hAnsi="Aptos" w:cs="Segoe UI" w:eastAsiaTheme="majorEastAsia"/>
          <w:i/>
          <w:iCs/>
        </w:rPr>
        <w:t>, UNICEF</w:t>
      </w:r>
    </w:p>
    <w:p w:rsidRPr="005C52B3" w:rsidR="00AB5885" w:rsidP="00AB5885" w:rsidRDefault="00AB5885" w14:paraId="4A08FE26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C52B3">
        <w:rPr>
          <w:rStyle w:val="normaltextrun"/>
          <w:rFonts w:ascii="Arial" w:hAnsi="Arial" w:cs="Arial" w:eastAsiaTheme="majorEastAsia"/>
        </w:rPr>
        <w:t> </w:t>
      </w:r>
      <w:r w:rsidRPr="005C52B3">
        <w:rPr>
          <w:rStyle w:val="eop"/>
          <w:rFonts w:ascii="Aptos" w:hAnsi="Aptos" w:cs="Segoe UI" w:eastAsiaTheme="majorEastAsia"/>
        </w:rPr>
        <w:t> </w:t>
      </w:r>
    </w:p>
    <w:p w:rsidRPr="005C52B3" w:rsidR="00AB5885" w:rsidP="07F74CA1" w:rsidRDefault="00AB5885" w14:paraId="560AD2FE" w14:textId="41349245">
      <w:pPr>
        <w:pStyle w:val="paragraph"/>
        <w:spacing w:before="0" w:beforeAutospacing="off" w:after="0" w:afterAutospacing="off"/>
        <w:textAlignment w:val="baseline"/>
        <w:rPr>
          <w:rFonts w:ascii="Aptos" w:hAnsi="Aptos" w:cs="Segoe UI"/>
        </w:rPr>
      </w:pPr>
      <w:r w:rsidRPr="07F74CA1" w:rsidR="00AB5885">
        <w:rPr>
          <w:rStyle w:val="normaltextrun"/>
          <w:rFonts w:ascii="Aptos" w:hAnsi="Aptos" w:eastAsia="" w:cs="Segoe UI" w:eastAsiaTheme="majorEastAsia"/>
          <w:b w:val="0"/>
          <w:bCs w:val="0"/>
          <w:color w:val="000000" w:themeColor="text1" w:themeTint="FF" w:themeShade="FF"/>
        </w:rPr>
        <w:t xml:space="preserve">This tool is part of </w:t>
      </w:r>
      <w:r w:rsidRPr="07F74CA1" w:rsidR="00AB5885">
        <w:rPr>
          <w:rStyle w:val="normaltextrun"/>
          <w:rFonts w:ascii="Aptos" w:hAnsi="Aptos" w:eastAsia="" w:cs="Segoe UI" w:eastAsiaTheme="majorEastAsia"/>
          <w:b w:val="0"/>
          <w:bCs w:val="0"/>
          <w:color w:val="000000" w:themeColor="text1" w:themeTint="FF" w:themeShade="FF"/>
        </w:rPr>
        <w:t>CARE’s</w:t>
      </w:r>
      <w:r w:rsidRPr="07F74CA1" w:rsidR="00702868">
        <w:rPr>
          <w:rStyle w:val="normaltextrun"/>
          <w:rFonts w:ascii="Aptos" w:hAnsi="Aptos" w:eastAsia="" w:cs="Segoe UI" w:eastAsiaTheme="majorEastAsia"/>
          <w:b w:val="1"/>
          <w:bCs w:val="1"/>
          <w:color w:val="000000" w:themeColor="text1" w:themeTint="FF" w:themeShade="FF"/>
        </w:rPr>
        <w:t xml:space="preserve"> </w:t>
      </w:r>
      <w:hyperlink r:id="R5c575b77c80f415f">
        <w:r w:rsidRPr="07F74CA1" w:rsidR="00702868">
          <w:rPr>
            <w:rStyle w:val="Hyperlink"/>
            <w:rFonts w:ascii="Aptos" w:hAnsi="Aptos" w:eastAsia="" w:cs="Segoe UI" w:eastAsiaTheme="majorEastAsia"/>
            <w:b w:val="1"/>
            <w:bCs w:val="1"/>
          </w:rPr>
          <w:t>Do No Harm in Practice Toolkit</w:t>
        </w:r>
      </w:hyperlink>
      <w:r w:rsidRPr="07F74CA1" w:rsidR="00702868">
        <w:rPr>
          <w:rStyle w:val="normaltextrun"/>
          <w:rFonts w:ascii="Aptos" w:hAnsi="Aptos" w:eastAsia="" w:cs="Segoe UI" w:eastAsiaTheme="majorEastAsia"/>
          <w:b w:val="1"/>
          <w:bCs w:val="1"/>
          <w:color w:val="000000" w:themeColor="text1" w:themeTint="FF" w:themeShade="FF"/>
        </w:rPr>
        <w:t>,</w:t>
      </w:r>
      <w:r w:rsidRPr="07F74CA1" w:rsidR="00AB5885">
        <w:rPr>
          <w:rStyle w:val="normaltextrun"/>
          <w:rFonts w:ascii="Aptos" w:hAnsi="Aptos" w:eastAsia="" w:cs="Segoe UI" w:eastAsiaTheme="majorEastAsia"/>
          <w:b w:val="1"/>
          <w:bCs w:val="1"/>
          <w:color w:val="000000" w:themeColor="text1" w:themeTint="FF" w:themeShade="FF"/>
        </w:rPr>
        <w:t xml:space="preserve"> </w:t>
      </w:r>
      <w:r w:rsidRPr="07F74CA1" w:rsidR="00AB5885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>specifically</w:t>
      </w:r>
      <w:r w:rsidRPr="07F74CA1" w:rsidR="00AB5885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 xml:space="preserve"> the </w:t>
      </w:r>
      <w:r w:rsidRPr="07F74CA1" w:rsidR="00AB5885">
        <w:rPr>
          <w:rStyle w:val="normaltextrun"/>
          <w:rFonts w:ascii="Aptos" w:hAnsi="Aptos" w:eastAsia="" w:cs="Segoe UI" w:eastAsiaTheme="majorEastAsia"/>
          <w:color w:val="000000" w:themeColor="text1" w:themeTint="FF" w:themeShade="FF"/>
          <w:u w:val="single"/>
        </w:rPr>
        <w:t xml:space="preserve">Monitoring and Evaluation </w:t>
      </w:r>
      <w:r w:rsidRPr="07F74CA1" w:rsidR="00AB5885">
        <w:rPr>
          <w:rStyle w:val="normaltextrun"/>
          <w:rFonts w:ascii="Aptos" w:hAnsi="Aptos" w:eastAsia="" w:cs="Segoe UI" w:eastAsiaTheme="majorEastAsia"/>
          <w:color w:val="000000" w:themeColor="text1" w:themeTint="FF" w:themeShade="FF"/>
        </w:rPr>
        <w:t>section.</w:t>
      </w:r>
      <w:r w:rsidRPr="07F74CA1" w:rsidR="00AB5885">
        <w:rPr>
          <w:rStyle w:val="normaltextrun"/>
          <w:rFonts w:ascii="Arial" w:hAnsi="Arial" w:eastAsia="" w:cs="Arial" w:eastAsiaTheme="majorEastAsia"/>
          <w:color w:val="000000" w:themeColor="text1" w:themeTint="FF" w:themeShade="FF"/>
        </w:rPr>
        <w:t> </w:t>
      </w:r>
    </w:p>
    <w:p w:rsidRPr="005C52B3" w:rsidR="00AB5885" w:rsidP="00AB5885" w:rsidRDefault="00AB5885" w14:paraId="784D3648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C52B3">
        <w:rPr>
          <w:rStyle w:val="normaltextrun"/>
          <w:rFonts w:ascii="Arial" w:hAnsi="Arial" w:cs="Arial" w:eastAsiaTheme="majorEastAsia"/>
        </w:rPr>
        <w:t> </w:t>
      </w:r>
      <w:r w:rsidRPr="005C52B3">
        <w:rPr>
          <w:rStyle w:val="eop"/>
          <w:rFonts w:ascii="Aptos" w:hAnsi="Aptos" w:cs="Segoe UI" w:eastAsiaTheme="majorEastAsia"/>
        </w:rPr>
        <w:t> </w:t>
      </w:r>
    </w:p>
    <w:p w:rsidRPr="005C52B3" w:rsidR="00AB5885" w:rsidP="00AB5885" w:rsidRDefault="00AB5885" w14:paraId="45286A75" w14:textId="47F688FB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C52B3">
        <w:rPr>
          <w:rStyle w:val="normaltextrun"/>
          <w:rFonts w:ascii="Aptos" w:hAnsi="Aptos" w:cs="Segoe UI" w:eastAsiaTheme="majorEastAsia"/>
          <w:b/>
          <w:bCs/>
        </w:rPr>
        <w:t>WHAT IS IT?</w:t>
      </w:r>
      <w:r w:rsidRPr="005C52B3">
        <w:rPr>
          <w:rStyle w:val="normaltextrun"/>
          <w:rFonts w:ascii="Arial" w:hAnsi="Arial" w:cs="Arial" w:eastAsiaTheme="majorEastAsia"/>
        </w:rPr>
        <w:t> </w:t>
      </w:r>
    </w:p>
    <w:p w:rsidRPr="005C52B3" w:rsidR="00AB5885" w:rsidP="00AB5885" w:rsidRDefault="00AB5885" w14:paraId="3A88DF8C" w14:textId="7C2934E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C52B3">
        <w:rPr>
          <w:rStyle w:val="normaltextrun"/>
          <w:rFonts w:ascii="Aptos" w:hAnsi="Aptos" w:cs="Segoe UI" w:eastAsiaTheme="majorEastAsia"/>
        </w:rPr>
        <w:t xml:space="preserve">The indicators below are </w:t>
      </w:r>
      <w:r w:rsidRPr="00702868">
        <w:rPr>
          <w:rStyle w:val="normaltextrun"/>
          <w:rFonts w:ascii="Aptos" w:hAnsi="Aptos" w:cs="Segoe UI" w:eastAsiaTheme="majorEastAsia"/>
          <w:i/>
          <w:iCs/>
          <w:u w:val="single"/>
        </w:rPr>
        <w:t>sector-specific</w:t>
      </w:r>
      <w:r w:rsidRPr="005C52B3">
        <w:rPr>
          <w:rStyle w:val="normaltextrun"/>
          <w:rFonts w:ascii="Aptos" w:hAnsi="Aptos" w:cs="Segoe UI" w:eastAsiaTheme="majorEastAsia"/>
          <w:i/>
          <w:iCs/>
        </w:rPr>
        <w:t xml:space="preserve"> </w:t>
      </w:r>
      <w:r w:rsidRPr="005C52B3">
        <w:rPr>
          <w:rStyle w:val="normaltextrun"/>
          <w:rFonts w:ascii="Aptos" w:hAnsi="Aptos" w:cs="Segoe UI" w:eastAsiaTheme="majorEastAsia"/>
        </w:rPr>
        <w:t xml:space="preserve">sample indicators to be adapted as needed by sector/type of program. </w:t>
      </w:r>
    </w:p>
    <w:p w:rsidRPr="005C52B3" w:rsidR="00AB5885" w:rsidP="00AB5885" w:rsidRDefault="00AB5885" w14:paraId="2FF4DDEB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C52B3">
        <w:rPr>
          <w:rStyle w:val="eop"/>
          <w:rFonts w:ascii="Aptos" w:hAnsi="Aptos" w:cs="Segoe UI" w:eastAsiaTheme="majorEastAsia"/>
        </w:rPr>
        <w:t> </w:t>
      </w:r>
    </w:p>
    <w:p w:rsidRPr="005C52B3" w:rsidR="00AB5885" w:rsidP="00AB5885" w:rsidRDefault="00AB5885" w14:paraId="2859D578" w14:textId="75EBB08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C52B3">
        <w:rPr>
          <w:rStyle w:val="normaltextrun"/>
          <w:rFonts w:ascii="Aptos" w:hAnsi="Aptos" w:cs="Segoe UI" w:eastAsiaTheme="majorEastAsia"/>
          <w:b/>
          <w:bCs/>
        </w:rPr>
        <w:t>GOOD PRACTICE FOR USING THIS TOOL</w:t>
      </w:r>
      <w:r w:rsidRPr="005C52B3">
        <w:rPr>
          <w:rStyle w:val="normaltextrun"/>
          <w:rFonts w:ascii="Arial" w:hAnsi="Arial" w:cs="Arial" w:eastAsiaTheme="majorEastAsia"/>
        </w:rPr>
        <w:t> </w:t>
      </w:r>
    </w:p>
    <w:p w:rsidRPr="005C52B3" w:rsidR="00AB5885" w:rsidP="00AB5885" w:rsidRDefault="00AB5885" w14:paraId="195F2521" w14:textId="6DDF2DD6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C52B3">
        <w:rPr>
          <w:rStyle w:val="normaltextrun"/>
          <w:rFonts w:ascii="Aptos" w:hAnsi="Aptos" w:cs="Segoe UI" w:eastAsiaTheme="majorEastAsia"/>
        </w:rPr>
        <w:t xml:space="preserve">It is NOT expected that programs will use </w:t>
      </w:r>
      <w:proofErr w:type="gramStart"/>
      <w:r w:rsidRPr="005C52B3">
        <w:rPr>
          <w:rStyle w:val="normaltextrun"/>
          <w:rFonts w:ascii="Aptos" w:hAnsi="Aptos" w:cs="Segoe UI" w:eastAsiaTheme="majorEastAsia"/>
          <w:i/>
          <w:iCs/>
        </w:rPr>
        <w:t>all</w:t>
      </w:r>
      <w:r w:rsidRPr="005C52B3">
        <w:rPr>
          <w:rStyle w:val="normaltextrun"/>
          <w:rFonts w:ascii="Aptos" w:hAnsi="Aptos" w:cs="Segoe UI" w:eastAsiaTheme="majorEastAsia"/>
        </w:rPr>
        <w:t xml:space="preserve"> of</w:t>
      </w:r>
      <w:proofErr w:type="gramEnd"/>
      <w:r w:rsidRPr="005C52B3">
        <w:rPr>
          <w:rStyle w:val="normaltextrun"/>
          <w:rFonts w:ascii="Aptos" w:hAnsi="Aptos" w:cs="Segoe UI" w:eastAsiaTheme="majorEastAsia"/>
        </w:rPr>
        <w:t xml:space="preserve"> these indicators – they are presented here as a menu from which to pick and </w:t>
      </w:r>
      <w:proofErr w:type="gramStart"/>
      <w:r w:rsidRPr="005C52B3">
        <w:rPr>
          <w:rStyle w:val="normaltextrun"/>
          <w:rFonts w:ascii="Aptos" w:hAnsi="Aptos" w:cs="Segoe UI" w:eastAsiaTheme="majorEastAsia"/>
        </w:rPr>
        <w:t>choose, and</w:t>
      </w:r>
      <w:proofErr w:type="gramEnd"/>
      <w:r w:rsidRPr="005C52B3">
        <w:rPr>
          <w:rStyle w:val="normaltextrun"/>
          <w:rFonts w:ascii="Aptos" w:hAnsi="Aptos" w:cs="Segoe UI" w:eastAsiaTheme="majorEastAsia"/>
        </w:rPr>
        <w:t xml:space="preserve"> adapt as relevant.</w:t>
      </w:r>
    </w:p>
    <w:p w:rsidRPr="005C52B3" w:rsidR="00AB5885" w:rsidP="00AB5885" w:rsidRDefault="00AB5885" w14:paraId="72200FDE" w14:textId="7777777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5C52B3">
        <w:rPr>
          <w:rStyle w:val="eop"/>
          <w:rFonts w:ascii="Aptos" w:hAnsi="Aptos" w:cs="Segoe UI" w:eastAsiaTheme="majorEastAsia"/>
        </w:rPr>
        <w:t> </w:t>
      </w:r>
    </w:p>
    <w:p w:rsidRPr="005C52B3" w:rsidR="00AB5885" w:rsidP="38D3DD28" w:rsidRDefault="00AB5885" w14:paraId="530DB048" w14:textId="487191E3">
      <w:pPr>
        <w:pStyle w:val="paragraph"/>
        <w:spacing w:before="0" w:beforeAutospacing="off" w:after="0" w:afterAutospacing="off"/>
        <w:textAlignment w:val="baseline"/>
        <w:rPr>
          <w:rFonts w:ascii="Aptos" w:hAnsi="Aptos" w:cs="Segoe UI"/>
        </w:rPr>
      </w:pPr>
      <w:r w:rsidRPr="38D3DD28" w:rsidR="00AB5885">
        <w:rPr>
          <w:rStyle w:val="normaltextrun"/>
          <w:rFonts w:ascii="Aptos" w:hAnsi="Aptos" w:eastAsia="" w:cs="Segoe UI" w:eastAsiaTheme="majorEastAsia"/>
          <w:b w:val="1"/>
          <w:bCs w:val="1"/>
          <w:color w:val="EE0000"/>
        </w:rPr>
        <w:t>These</w:t>
      </w:r>
      <w:r w:rsidRPr="38D3DD28" w:rsidR="00AB5885">
        <w:rPr>
          <w:rStyle w:val="normaltextrun"/>
          <w:rFonts w:ascii="Aptos" w:hAnsi="Aptos" w:eastAsia="" w:cs="Segoe UI" w:eastAsiaTheme="majorEastAsia"/>
          <w:b w:val="1"/>
          <w:bCs w:val="1"/>
          <w:color w:val="EE0000"/>
        </w:rPr>
        <w:t xml:space="preserve"> sector-specific indicators</w:t>
      </w:r>
      <w:r w:rsidRPr="38D3DD28" w:rsidR="00AB5885">
        <w:rPr>
          <w:rStyle w:val="normaltextrun"/>
          <w:rFonts w:ascii="Aptos" w:hAnsi="Aptos" w:eastAsia="" w:cs="Segoe UI" w:eastAsiaTheme="majorEastAsia"/>
          <w:b w:val="1"/>
          <w:bCs w:val="1"/>
          <w:color w:val="EE0000"/>
        </w:rPr>
        <w:t xml:space="preserve"> are meant to be used </w:t>
      </w:r>
      <w:r w:rsidRPr="38D3DD28" w:rsidR="00702868">
        <w:rPr>
          <w:rStyle w:val="normaltextrun"/>
          <w:rFonts w:ascii="Aptos" w:hAnsi="Aptos" w:eastAsia="" w:cs="Segoe UI" w:eastAsiaTheme="majorEastAsia"/>
          <w:b w:val="1"/>
          <w:bCs w:val="1"/>
          <w:color w:val="EE0000"/>
          <w:u w:val="single"/>
        </w:rPr>
        <w:t xml:space="preserve">in conjunction </w:t>
      </w:r>
      <w:r w:rsidRPr="38D3DD28" w:rsidR="00AB5885">
        <w:rPr>
          <w:rStyle w:val="normaltextrun"/>
          <w:rFonts w:ascii="Aptos" w:hAnsi="Aptos" w:eastAsia="" w:cs="Segoe UI" w:eastAsiaTheme="majorEastAsia"/>
          <w:b w:val="1"/>
          <w:bCs w:val="1"/>
          <w:color w:val="EE0000"/>
          <w:u w:val="single"/>
        </w:rPr>
        <w:t xml:space="preserve">with the </w:t>
      </w:r>
      <w:hyperlink r:id="R7c30c6808713410b">
        <w:r w:rsidRPr="38D3DD28" w:rsidR="00AB5885">
          <w:rPr>
            <w:rStyle w:val="Hyperlink"/>
            <w:rFonts w:ascii="Aptos" w:hAnsi="Aptos" w:eastAsia="" w:cs="Segoe UI" w:eastAsiaTheme="majorEastAsia"/>
            <w:b w:val="1"/>
            <w:bCs w:val="1"/>
          </w:rPr>
          <w:t>general indicators</w:t>
        </w:r>
        <w:r w:rsidRPr="38D3DD28" w:rsidR="00702868">
          <w:rPr>
            <w:rStyle w:val="Hyperlink"/>
            <w:rFonts w:ascii="Aptos" w:hAnsi="Aptos" w:eastAsia="" w:cs="Segoe UI" w:eastAsiaTheme="majorEastAsia"/>
          </w:rPr>
          <w:t>.</w:t>
        </w:r>
      </w:hyperlink>
    </w:p>
    <w:p w:rsidRPr="005C52B3" w:rsidR="00C85F8E" w:rsidRDefault="00C85F8E" w14:paraId="0761AC66" w14:textId="77777777">
      <w:pPr>
        <w:rPr>
          <w:rFonts w:ascii="Aptos" w:hAnsi="Aptos"/>
        </w:rPr>
      </w:pPr>
    </w:p>
    <w:p w:rsidRPr="005C52B3" w:rsidR="00AB5885" w:rsidRDefault="00AB5885" w14:paraId="78C43FE7" w14:textId="5A922E5D">
      <w:pPr>
        <w:rPr>
          <w:rFonts w:ascii="Aptos" w:hAnsi="Aptos"/>
        </w:rPr>
      </w:pPr>
      <w:r w:rsidRPr="12B0767F" w:rsidR="00AB5885">
        <w:rPr>
          <w:rFonts w:ascii="Aptos" w:hAnsi="Aptos"/>
        </w:rPr>
        <w:t>Please click your sector below</w:t>
      </w:r>
      <w:r w:rsidRPr="12B0767F" w:rsidR="00702868">
        <w:rPr>
          <w:rFonts w:ascii="Aptos" w:hAnsi="Aptos"/>
        </w:rPr>
        <w:t xml:space="preserve"> to be taken to the relevant indicators</w:t>
      </w:r>
      <w:r w:rsidRPr="12B0767F" w:rsidR="00AB5885">
        <w:rPr>
          <w:rFonts w:ascii="Aptos" w:hAnsi="Aptos"/>
        </w:rPr>
        <w:t>.</w:t>
      </w:r>
    </w:p>
    <w:p w:rsidRPr="005C52B3" w:rsidR="00AB5885" w:rsidP="00AB5885" w:rsidRDefault="00702868" w14:paraId="65EB05BD" w14:textId="054DA2FE">
      <w:pPr>
        <w:spacing w:after="0" w:line="240" w:lineRule="auto"/>
        <w:rPr>
          <w:rFonts w:ascii="Aptos" w:hAnsi="Aptos"/>
        </w:rPr>
      </w:pPr>
      <w:hyperlink w:history="1" w:anchor="CP">
        <w:r w:rsidRPr="00702868" w:rsidR="00AB5885">
          <w:rPr>
            <w:rStyle w:val="Hyperlink"/>
            <w:rFonts w:ascii="Aptos" w:hAnsi="Aptos"/>
          </w:rPr>
          <w:t>CHILD PROTECTION</w:t>
        </w:r>
      </w:hyperlink>
    </w:p>
    <w:p w:rsidRPr="005C52B3" w:rsidR="00AB5885" w:rsidP="00AB5885" w:rsidRDefault="00702868" w14:paraId="134CF5DF" w14:textId="446D5C1E">
      <w:pPr>
        <w:spacing w:after="0" w:line="240" w:lineRule="auto"/>
        <w:rPr>
          <w:rFonts w:ascii="Aptos" w:hAnsi="Aptos"/>
        </w:rPr>
      </w:pPr>
      <w:hyperlink w:history="1" w:anchor="ED">
        <w:r w:rsidRPr="00702868" w:rsidR="00AB5885">
          <w:rPr>
            <w:rStyle w:val="Hyperlink"/>
            <w:rFonts w:ascii="Aptos" w:hAnsi="Aptos"/>
          </w:rPr>
          <w:t>EDUCATIO</w:t>
        </w:r>
        <w:r w:rsidRPr="00702868" w:rsidR="00AB5885">
          <w:rPr>
            <w:rStyle w:val="Hyperlink"/>
            <w:rFonts w:ascii="Aptos" w:hAnsi="Aptos"/>
          </w:rPr>
          <w:t>N</w:t>
        </w:r>
      </w:hyperlink>
    </w:p>
    <w:p w:rsidRPr="005C52B3" w:rsidR="00AB5885" w:rsidP="00AB5885" w:rsidRDefault="00702868" w14:paraId="2534450A" w14:textId="64D92A39">
      <w:pPr>
        <w:spacing w:after="0" w:line="240" w:lineRule="auto"/>
        <w:rPr>
          <w:rFonts w:ascii="Aptos" w:hAnsi="Aptos"/>
        </w:rPr>
      </w:pPr>
      <w:hyperlink w:history="1" w:anchor="FSA">
        <w:r w:rsidRPr="00702868" w:rsidR="00AB5885">
          <w:rPr>
            <w:rStyle w:val="Hyperlink"/>
            <w:rFonts w:ascii="Aptos" w:hAnsi="Aptos"/>
          </w:rPr>
          <w:t>FOOD SECURITY</w:t>
        </w:r>
      </w:hyperlink>
    </w:p>
    <w:p w:rsidRPr="005C52B3" w:rsidR="00AB5885" w:rsidP="00AB5885" w:rsidRDefault="00702868" w14:paraId="5892772F" w14:textId="3ECFA9E1">
      <w:pPr>
        <w:spacing w:after="0" w:line="240" w:lineRule="auto"/>
        <w:rPr>
          <w:rFonts w:ascii="Aptos" w:hAnsi="Aptos"/>
        </w:rPr>
      </w:pPr>
      <w:hyperlink w:history="1" w:anchor="Health">
        <w:r w:rsidRPr="00702868" w:rsidR="00AB5885">
          <w:rPr>
            <w:rStyle w:val="Hyperlink"/>
            <w:rFonts w:ascii="Aptos" w:hAnsi="Aptos"/>
          </w:rPr>
          <w:t>HEALTH</w:t>
        </w:r>
      </w:hyperlink>
    </w:p>
    <w:p w:rsidRPr="005C52B3" w:rsidR="00AB5885" w:rsidP="00AB5885" w:rsidRDefault="00702868" w14:paraId="638C5FC2" w14:textId="7D434805">
      <w:pPr>
        <w:spacing w:after="0" w:line="240" w:lineRule="auto"/>
        <w:rPr>
          <w:rFonts w:ascii="Aptos" w:hAnsi="Aptos"/>
        </w:rPr>
      </w:pPr>
      <w:hyperlink w:history="1" w:anchor="LLH">
        <w:r w:rsidRPr="00702868" w:rsidR="00AB5885">
          <w:rPr>
            <w:rStyle w:val="Hyperlink"/>
            <w:rFonts w:ascii="Aptos" w:hAnsi="Aptos"/>
          </w:rPr>
          <w:t>LIVELIHOODS</w:t>
        </w:r>
      </w:hyperlink>
    </w:p>
    <w:p w:rsidRPr="005C52B3" w:rsidR="00AB5885" w:rsidP="00AB5885" w:rsidRDefault="00702868" w14:paraId="5A08BAE0" w14:textId="2909C759">
      <w:pPr>
        <w:spacing w:after="0" w:line="240" w:lineRule="auto"/>
        <w:rPr>
          <w:rFonts w:ascii="Aptos" w:hAnsi="Aptos"/>
        </w:rPr>
      </w:pPr>
      <w:hyperlink w:history="1" w:anchor="NUT">
        <w:r w:rsidRPr="00702868" w:rsidR="00AB5885">
          <w:rPr>
            <w:rStyle w:val="Hyperlink"/>
            <w:rFonts w:ascii="Aptos" w:hAnsi="Aptos"/>
          </w:rPr>
          <w:t>NUTRITION</w:t>
        </w:r>
      </w:hyperlink>
    </w:p>
    <w:p w:rsidRPr="005C52B3" w:rsidR="00AB5885" w:rsidP="00AB5885" w:rsidRDefault="00702868" w14:paraId="6B3B8D55" w14:textId="3878FF79">
      <w:pPr>
        <w:spacing w:after="0" w:line="240" w:lineRule="auto"/>
        <w:rPr>
          <w:rFonts w:ascii="Aptos" w:hAnsi="Aptos"/>
        </w:rPr>
      </w:pPr>
      <w:hyperlink w:history="1" w:anchor="PXN">
        <w:r w:rsidRPr="00702868" w:rsidR="00AB5885">
          <w:rPr>
            <w:rStyle w:val="Hyperlink"/>
            <w:rFonts w:ascii="Aptos" w:hAnsi="Aptos"/>
          </w:rPr>
          <w:t>PROT</w:t>
        </w:r>
        <w:r w:rsidRPr="00702868" w:rsidR="00AB5885">
          <w:rPr>
            <w:rStyle w:val="Hyperlink"/>
            <w:rFonts w:ascii="Aptos" w:hAnsi="Aptos"/>
          </w:rPr>
          <w:t>E</w:t>
        </w:r>
        <w:r w:rsidRPr="00702868" w:rsidR="00AB5885">
          <w:rPr>
            <w:rStyle w:val="Hyperlink"/>
            <w:rFonts w:ascii="Aptos" w:hAnsi="Aptos"/>
          </w:rPr>
          <w:t>CTION</w:t>
        </w:r>
      </w:hyperlink>
    </w:p>
    <w:p w:rsidRPr="005C52B3" w:rsidR="00AB5885" w:rsidP="00AB5885" w:rsidRDefault="00702868" w14:paraId="734FD61A" w14:textId="616412FB">
      <w:pPr>
        <w:spacing w:after="0" w:line="240" w:lineRule="auto"/>
        <w:rPr>
          <w:rFonts w:ascii="Aptos" w:hAnsi="Aptos"/>
        </w:rPr>
      </w:pPr>
      <w:r>
        <w:fldChar w:fldCharType="begin"/>
      </w:r>
      <w:r>
        <w:instrText xml:space="preserve">HYPERLINK  \l "SSR"</w:instrText>
      </w:r>
      <w:r>
        <w:fldChar w:fldCharType="separate"/>
      </w:r>
      <w:r w:rsidRPr="12B0767F" w:rsidR="00AB5885">
        <w:rPr>
          <w:rStyle w:val="Hyperlink"/>
          <w:rFonts w:ascii="Aptos" w:hAnsi="Aptos"/>
        </w:rPr>
        <w:t>SHELTER</w:t>
      </w:r>
      <w:r>
        <w:fldChar w:fldCharType="end"/>
      </w:r>
    </w:p>
    <w:p w:rsidR="56C36B0F" w:rsidP="12B0767F" w:rsidRDefault="56C36B0F" w14:paraId="7FD3DF3E" w14:textId="64DEDC3E">
      <w:pPr>
        <w:spacing w:after="0" w:line="240" w:lineRule="auto"/>
        <w:rPr>
          <w:rFonts w:ascii="Aptos" w:hAnsi="Aptos"/>
        </w:rPr>
      </w:pPr>
      <w:r>
        <w:fldChar w:fldCharType="begin"/>
      </w:r>
      <w:r>
        <w:instrText xml:space="preserve">HYPERLINK  \l  "Bookmark1" </w:instrText>
      </w:r>
      <w:r>
        <w:fldChar w:fldCharType="separate"/>
      </w:r>
      <w:r w:rsidRPr="38D3DD28" w:rsidR="56C36B0F">
        <w:rPr>
          <w:rStyle w:val="Hyperlink"/>
          <w:rFonts w:ascii="Aptos" w:hAnsi="Aptos"/>
        </w:rPr>
        <w:t>SITE DESIGN &amp; LAYOUT (CCCM)</w:t>
      </w:r>
      <w:r>
        <w:fldChar w:fldCharType="end"/>
      </w:r>
    </w:p>
    <w:p w:rsidRPr="005C52B3" w:rsidR="00AB5885" w:rsidP="00AB5885" w:rsidRDefault="00702868" w14:paraId="60BA0395" w14:textId="254A5F52">
      <w:pPr>
        <w:spacing w:after="0" w:line="240" w:lineRule="auto"/>
        <w:rPr>
          <w:rFonts w:ascii="Aptos" w:hAnsi="Aptos"/>
        </w:rPr>
      </w:pPr>
      <w:hyperlink w:history="1" w:anchor="WASH">
        <w:r w:rsidRPr="00702868" w:rsidR="00AB5885">
          <w:rPr>
            <w:rStyle w:val="Hyperlink"/>
            <w:rFonts w:ascii="Aptos" w:hAnsi="Aptos"/>
          </w:rPr>
          <w:t>WASH</w:t>
        </w:r>
      </w:hyperlink>
    </w:p>
    <w:p w:rsidRPr="005C52B3" w:rsidR="00AB5885" w:rsidP="003A50C0" w:rsidRDefault="00AB5885" w14:paraId="74B867EA" w14:textId="77777777">
      <w:pPr>
        <w:rPr>
          <w:rFonts w:ascii="Aptos" w:hAnsi="Aptos"/>
        </w:rPr>
      </w:pPr>
    </w:p>
    <w:bookmarkStart w:name="SDL" w:id="2"/>
    <w:bookmarkEnd w:id="2"/>
    <w:p w:rsidRPr="005C52B3" w:rsidR="003A50C0" w:rsidP="005C52B3" w:rsidRDefault="003A50C0" w14:paraId="0DD1C0D0" w14:textId="77777777">
      <w:pPr>
        <w:spacing w:after="0" w:line="240" w:lineRule="auto"/>
        <w:rPr>
          <w:rFonts w:ascii="Aptos" w:hAnsi="Aptos"/>
        </w:rPr>
      </w:pPr>
    </w:p>
    <w:p w:rsidRPr="005C52B3" w:rsidR="003A50C0" w:rsidP="005C52B3" w:rsidRDefault="00AB5885" w14:paraId="73A47BFD" w14:textId="49FD4B2D">
      <w:pPr>
        <w:spacing w:after="0" w:line="240" w:lineRule="auto"/>
        <w:rPr>
          <w:rFonts w:ascii="Aptos" w:hAnsi="Aptos"/>
          <w:b/>
          <w:bCs/>
          <w:u w:val="single"/>
        </w:rPr>
      </w:pPr>
      <w:bookmarkStart w:name="CP" w:id="3"/>
      <w:r w:rsidRPr="005C52B3">
        <w:rPr>
          <w:rFonts w:ascii="Aptos" w:hAnsi="Aptos"/>
          <w:b/>
          <w:bCs/>
          <w:u w:val="single"/>
        </w:rPr>
        <w:t>CHILD PROTECTION</w:t>
      </w:r>
    </w:p>
    <w:bookmarkEnd w:id="3"/>
    <w:p w:rsidR="12B0767F" w:rsidP="12B0767F" w:rsidRDefault="12B0767F" w14:paraId="0A9B3CB0">
      <w:pPr>
        <w:pStyle w:val="Normal"/>
        <w:spacing w:after="0" w:line="240" w:lineRule="auto"/>
        <w:rPr>
          <w:rFonts w:ascii="Aptos" w:hAnsi="Aptos"/>
        </w:rPr>
      </w:pPr>
    </w:p>
    <w:p w:rsidR="51806A55" w:rsidP="12B0767F" w:rsidRDefault="51806A55" w14:paraId="460E55ED" w14:textId="0933686E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 xml:space="preserve">% of targeted communities that have a safe space for children </w:t>
      </w:r>
    </w:p>
    <w:p w:rsidR="51806A55" w:rsidP="12B0767F" w:rsidRDefault="51806A55" w14:paraId="2014EE2B" w14:textId="69C4796C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of child-friendly multi-sectoral services for child survivors of GBV</w:t>
      </w:r>
    </w:p>
    <w:p w:rsidR="51806A55" w:rsidP="12B0767F" w:rsidRDefault="51806A55" w14:paraId="3A5BBE8B" w14:textId="288CCE34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or % of sites that conducted safety audits, child safety walks, and/or child-led participatory mapping exercises</w:t>
      </w:r>
    </w:p>
    <w:p w:rsidR="51806A55" w:rsidP="12B0767F" w:rsidRDefault="51806A55" w14:paraId="63D26610" w14:textId="3EAD728F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targeted communities with child-friendly multi-sectoral services* for child survivors of GBV</w:t>
      </w:r>
    </w:p>
    <w:p w:rsidR="51806A55" w:rsidP="12B0767F" w:rsidRDefault="51806A55" w14:paraId="65B10CB3" w14:textId="4E2CF51E">
      <w:pPr>
        <w:pStyle w:val="ListParagraph"/>
        <w:numPr>
          <w:ilvl w:val="1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231F20"/>
          <w:sz w:val="24"/>
          <w:szCs w:val="24"/>
          <w:lang w:val="en-US"/>
        </w:rPr>
        <w:t>Multi-sectoral services include child-friendly healthcare, mental health and psychosocial support, security and legal/justice response</w:t>
      </w:r>
    </w:p>
    <w:p w:rsidR="51806A55" w:rsidP="12B0767F" w:rsidRDefault="51806A55" w14:paraId="42B874BF" w14:textId="1B1159D3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Ratio of boys to girls in child-friendly community spaces: # of girls attending child-friendly community spaces / # of boys attending child-friendly community spaces</w:t>
      </w:r>
    </w:p>
    <w:p w:rsidR="51806A55" w:rsidP="12B0767F" w:rsidRDefault="51806A55" w14:paraId="2D809EA0" w14:textId="029742E4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of services* for child GBV survivors</w:t>
      </w:r>
    </w:p>
    <w:p w:rsidR="51806A55" w:rsidP="12B0767F" w:rsidRDefault="51806A55" w14:paraId="172E3514" w14:textId="72309931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of dignity kits distributed to girls</w:t>
      </w:r>
    </w:p>
    <w:p w:rsidR="51806A55" w:rsidP="12B0767F" w:rsidRDefault="51806A55" w14:paraId="22760CEB" w14:textId="7B7DC4D1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% of children and caregivers whose urgent GBV-related needs/risks have been addressed through the case management process (disaggregated by age and sex)</w:t>
      </w:r>
    </w:p>
    <w:p w:rsidR="51806A55" w:rsidP="12B0767F" w:rsidRDefault="51806A55" w14:paraId="58CB52E6" w14:textId="36128AE0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placements for separated/unaccompanied children who are receiving visits to monitor risk factors of GBV</w:t>
      </w:r>
    </w:p>
    <w:p w:rsidR="51806A55" w:rsidP="12B0767F" w:rsidRDefault="51806A55" w14:paraId="5A75B210" w14:textId="6C3F63F0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DDR programs that provide services* for child survivors of GBV</w:t>
      </w:r>
    </w:p>
    <w:p w:rsidR="51806A55" w:rsidP="12B0767F" w:rsidRDefault="51806A55" w14:paraId="5D6E0A9C" w14:textId="6B69250D">
      <w:pPr>
        <w:pStyle w:val="ListParagraph"/>
        <w:numPr>
          <w:ilvl w:val="0"/>
          <w:numId w:val="1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51806A5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specified locations with measures other than detention for children in conflict with the law</w:t>
      </w:r>
    </w:p>
    <w:p w:rsidR="005C52B3" w:rsidP="005C52B3" w:rsidRDefault="005C52B3" w14:paraId="6E7825DB" w14:textId="77777777">
      <w:pPr>
        <w:spacing w:after="0" w:line="240" w:lineRule="auto"/>
        <w:rPr>
          <w:rFonts w:ascii="Aptos" w:hAnsi="Aptos"/>
          <w:b/>
          <w:bCs/>
          <w:u w:val="single"/>
        </w:rPr>
      </w:pPr>
    </w:p>
    <w:p w:rsidRPr="005C52B3" w:rsidR="003A50C0" w:rsidP="005C52B3" w:rsidRDefault="003A50C0" w14:paraId="0A0F0CFE" w14:textId="34710276">
      <w:pPr>
        <w:spacing w:after="0" w:line="240" w:lineRule="auto"/>
        <w:rPr>
          <w:rFonts w:ascii="Aptos" w:hAnsi="Aptos"/>
          <w:b/>
          <w:bCs/>
          <w:u w:val="single"/>
        </w:rPr>
      </w:pPr>
      <w:bookmarkStart w:name="ED" w:id="4"/>
      <w:r w:rsidRPr="005C52B3">
        <w:rPr>
          <w:rFonts w:ascii="Aptos" w:hAnsi="Aptos"/>
          <w:b/>
          <w:bCs/>
          <w:u w:val="single"/>
        </w:rPr>
        <w:t>ED</w:t>
      </w:r>
      <w:r w:rsidRPr="005C52B3" w:rsidR="00AB5885">
        <w:rPr>
          <w:rFonts w:ascii="Aptos" w:hAnsi="Aptos"/>
          <w:b/>
          <w:bCs/>
          <w:u w:val="single"/>
        </w:rPr>
        <w:t>UCATION</w:t>
      </w:r>
    </w:p>
    <w:bookmarkEnd w:id="4"/>
    <w:p w:rsidRPr="005C52B3" w:rsidR="00702868" w:rsidP="12B0767F" w:rsidRDefault="00702868" w14:paraId="66689142" w14:textId="6568845D">
      <w:pPr>
        <w:spacing w:after="0" w:line="240" w:lineRule="auto"/>
        <w:rPr>
          <w:rFonts w:ascii="Aptos" w:hAnsi="Aptos" w:cs="Times New Roman"/>
          <w:i w:val="1"/>
          <w:iCs w:val="1"/>
          <w:color w:val="231F20"/>
          <w:kern w:val="0"/>
        </w:rPr>
      </w:pPr>
      <w:r w:rsidRPr="12B0767F" w:rsidR="00702868">
        <w:rPr>
          <w:rFonts w:ascii="Aptos" w:hAnsi="Aptos" w:cs="Times New Roman"/>
          <w:i w:val="1"/>
          <w:iCs w:val="1"/>
          <w:color w:val="231F20"/>
          <w:kern w:val="0"/>
        </w:rPr>
        <w:t xml:space="preserve">Note: UNICEF has created an in-depth monitoring tool for </w:t>
      </w:r>
      <w:r w:rsidRPr="12B0767F" w:rsidR="35115FD0">
        <w:rPr>
          <w:rFonts w:ascii="Aptos" w:hAnsi="Aptos" w:cs="Times New Roman"/>
          <w:i w:val="1"/>
          <w:iCs w:val="1"/>
          <w:color w:val="231F20"/>
          <w:kern w:val="0"/>
        </w:rPr>
        <w:t xml:space="preserve">GBV </w:t>
      </w:r>
      <w:r w:rsidRPr="12B0767F" w:rsidR="00702868">
        <w:rPr>
          <w:rFonts w:ascii="Aptos" w:hAnsi="Aptos" w:cs="Times New Roman"/>
          <w:i w:val="1"/>
          <w:iCs w:val="1"/>
          <w:color w:val="231F20"/>
          <w:kern w:val="0"/>
        </w:rPr>
        <w:t xml:space="preserve">risk mitigation in </w:t>
      </w:r>
      <w:r w:rsidRPr="12B0767F" w:rsidR="4E2C7AD6">
        <w:rPr>
          <w:rFonts w:ascii="Aptos" w:hAnsi="Aptos" w:cs="Times New Roman"/>
          <w:i w:val="1"/>
          <w:iCs w:val="1"/>
          <w:color w:val="231F20"/>
          <w:kern w:val="0"/>
        </w:rPr>
        <w:t xml:space="preserve">e</w:t>
      </w:r>
      <w:r w:rsidRPr="12B0767F" w:rsidR="00702868">
        <w:rPr>
          <w:rFonts w:ascii="Aptos" w:hAnsi="Aptos" w:cs="Times New Roman"/>
          <w:i w:val="1"/>
          <w:iCs w:val="1"/>
          <w:color w:val="231F20"/>
          <w:kern w:val="0"/>
        </w:rPr>
        <w:t>ducation</w:t>
      </w:r>
      <w:r w:rsidRPr="12B0767F" w:rsidR="00702868">
        <w:rPr>
          <w:rFonts w:ascii="Aptos" w:hAnsi="Aptos" w:cs="Times New Roman"/>
          <w:i w:val="1"/>
          <w:iCs w:val="1"/>
          <w:color w:val="231F20"/>
          <w:kern w:val="0"/>
        </w:rPr>
        <w:t xml:space="preserve"> programming</w:t>
      </w:r>
      <w:r w:rsidRPr="12B0767F" w:rsidR="6509C00D">
        <w:rPr>
          <w:rFonts w:ascii="Aptos" w:hAnsi="Aptos" w:cs="Times New Roman"/>
          <w:i w:val="1"/>
          <w:iCs w:val="1"/>
          <w:color w:val="231F20"/>
          <w:kern w:val="0"/>
        </w:rPr>
        <w:t xml:space="preserve">, called the </w:t>
      </w:r>
      <w:hyperlink r:id="Rff03fbf0e7224be2">
        <w:r w:rsidRPr="12B0767F" w:rsidR="6509C00D">
          <w:rPr>
            <w:rStyle w:val="Hyperlink"/>
            <w:rFonts w:ascii="Aptos" w:hAnsi="Aptos" w:cs="Times New Roman"/>
            <w:i w:val="1"/>
            <w:iCs w:val="1"/>
          </w:rPr>
          <w:t xml:space="preserve">Menu of Measures: GBV risk mitigation in the </w:t>
        </w:r>
        <w:r w:rsidRPr="12B0767F" w:rsidR="6782A6A9">
          <w:rPr>
            <w:rStyle w:val="Hyperlink"/>
            <w:rFonts w:ascii="Aptos" w:hAnsi="Aptos" w:cs="Times New Roman"/>
            <w:i w:val="1"/>
            <w:iCs w:val="1"/>
          </w:rPr>
          <w:t>Education</w:t>
        </w:r>
        <w:r w:rsidRPr="12B0767F" w:rsidR="6509C00D">
          <w:rPr>
            <w:rStyle w:val="Hyperlink"/>
            <w:rFonts w:ascii="Aptos" w:hAnsi="Aptos" w:cs="Times New Roman"/>
            <w:i w:val="1"/>
            <w:iCs w:val="1"/>
          </w:rPr>
          <w:t xml:space="preserve"> in Emergencies sector</w:t>
        </w:r>
      </w:hyperlink>
      <w:r w:rsidRPr="12B0767F" w:rsidR="6509C00D">
        <w:rPr>
          <w:rFonts w:ascii="Aptos" w:hAnsi="Aptos" w:cs="Times New Roman"/>
          <w:i w:val="1"/>
          <w:iCs w:val="1"/>
          <w:color w:val="231F20"/>
          <w:kern w:val="0"/>
        </w:rPr>
        <w:t xml:space="preserve">. </w:t>
      </w:r>
      <w:r w:rsidRPr="12B0767F" w:rsidR="32985805">
        <w:rPr>
          <w:rFonts w:ascii="Aptos" w:hAnsi="Aptos" w:cs="Times New Roman"/>
          <w:i w:val="1"/>
          <w:iCs w:val="1"/>
          <w:color w:val="231F20"/>
          <w:kern w:val="0"/>
        </w:rPr>
        <w:t xml:space="preserve">It is recommended to review this tool in addition to the below. </w:t>
      </w:r>
    </w:p>
    <w:p w:rsidRPr="005C52B3" w:rsidR="003A50C0" w:rsidP="005C52B3" w:rsidRDefault="003A50C0" w14:paraId="1BA15B91" w14:textId="77777777">
      <w:pPr>
        <w:spacing w:after="0" w:line="240" w:lineRule="auto"/>
        <w:rPr>
          <w:rFonts w:ascii="Aptos" w:hAnsi="Aptos"/>
        </w:rPr>
      </w:pPr>
    </w:p>
    <w:p w:rsidRPr="00516E5B" w:rsidR="003A50C0" w:rsidP="17139601" w:rsidRDefault="005C52B3" w14:noSpellErr="1" w14:paraId="0051ABD6" w14:textId="73B78C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eastAsia="Aptos" w:cs="Times New Roman"/>
          <w:noProof w:val="0"/>
          <w:color w:val="231F20"/>
          <w:kern w:val="0"/>
          <w:sz w:val="24"/>
          <w:szCs w:val="24"/>
          <w:lang w:val="en-US"/>
        </w:rPr>
      </w:pPr>
      <w:r w:rsidRPr="17139601" w:rsidR="2FC6D337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# or % of people (disaggregated by sex and age) sensitized on the importance of school enrollment for all children (girls, boys, children with disabilities)</w:t>
      </w:r>
    </w:p>
    <w:p w:rsidRPr="00516E5B" w:rsidR="003A50C0" w:rsidP="00516E5B" w:rsidRDefault="005C52B3" w14:paraId="4C6B9473" w14:textId="2BBE771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5C52B3" w:rsidR="005C52B3">
        <w:rPr>
          <w:rFonts w:ascii="Aptos" w:hAnsi="Aptos" w:cs="Times New Roman"/>
          <w:color w:val="231F20"/>
          <w:kern w:val="0"/>
        </w:rPr>
        <w:t>%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 of learning environments conducting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>consultations with the affected population</w:t>
      </w:r>
      <w:r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to discuss </w:t>
      </w:r>
      <w:r w:rsidR="00516E5B">
        <w:rPr>
          <w:rFonts w:ascii="Aptos" w:hAnsi="Aptos" w:cs="Times New Roman"/>
          <w:color w:val="231F20"/>
          <w:kern w:val="0"/>
        </w:rPr>
        <w:t>VAWG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risk factors in and around</w:t>
      </w:r>
      <w:r w:rsidRPr="00516E5B" w:rsidR="005C52B3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>the learning environment</w:t>
      </w:r>
    </w:p>
    <w:p w:rsidR="35CFA44D" w:rsidP="12B0767F" w:rsidRDefault="35CFA44D" w14:paraId="0EE87132" w14:textId="784D3E71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Times New Roman"/>
          <w:color w:val="231F20"/>
        </w:rPr>
      </w:pPr>
      <w:r w:rsidRPr="12B0767F" w:rsidR="35CFA44D">
        <w:rPr>
          <w:noProof w:val="0"/>
          <w:lang w:val="en-US"/>
        </w:rPr>
        <w:t xml:space="preserve">% of women and girls reporting that their feedback was reflected in the design, </w:t>
      </w:r>
      <w:r w:rsidRPr="12B0767F" w:rsidR="35CFA44D">
        <w:rPr>
          <w:noProof w:val="0"/>
          <w:lang w:val="en-US"/>
        </w:rPr>
        <w:t>implementation</w:t>
      </w:r>
      <w:r w:rsidRPr="12B0767F" w:rsidR="35CFA44D">
        <w:rPr>
          <w:noProof w:val="0"/>
          <w:lang w:val="en-US"/>
        </w:rPr>
        <w:t xml:space="preserve"> or adaptation of education services</w:t>
      </w:r>
    </w:p>
    <w:p w:rsidR="3AFBE62D" w:rsidP="17139601" w:rsidRDefault="3AFBE62D" w14:paraId="2728151A" w14:textId="2B3D324A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</w:pPr>
      <w:r w:rsidRPr="12B0767F" w:rsidR="3AFBE62D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# or % of schools where safety audits were conducted (% of which led to improved programming)</w:t>
      </w:r>
    </w:p>
    <w:p w:rsidR="4AE960B5" w:rsidP="12B0767F" w:rsidRDefault="4AE960B5" w14:paraId="32D9BD6B" w14:textId="0056D804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</w:pPr>
      <w:r w:rsidRPr="12B0767F" w:rsidR="4AE960B5">
        <w:rPr>
          <w:noProof w:val="0"/>
          <w:lang w:val="en-US"/>
        </w:rPr>
        <w:t>% of</w:t>
      </w:r>
      <w:r w:rsidRPr="12B0767F" w:rsidR="4AE960B5">
        <w:rPr>
          <w:noProof w:val="0"/>
          <w:lang w:val="en-US"/>
        </w:rPr>
        <w:t xml:space="preserve"> </w:t>
      </w:r>
      <w:r w:rsidRPr="12B0767F" w:rsidR="4AE960B5">
        <w:rPr>
          <w:noProof w:val="0"/>
          <w:lang w:val="en-US"/>
        </w:rPr>
        <w:t>schools/learning spaces in and around which GBV risk mitigation interventions are implemented</w:t>
      </w:r>
    </w:p>
    <w:p w:rsidRPr="005C52B3" w:rsidR="003A50C0" w:rsidP="005C52B3" w:rsidRDefault="00516E5B" w14:paraId="32B3C4A0" w14:textId="6F41CB47" w14:noSpellErr="1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="00516E5B">
        <w:rPr>
          <w:rFonts w:ascii="Aptos" w:hAnsi="Aptos" w:cs="Times New Roman"/>
          <w:color w:val="231F20"/>
          <w:kern w:val="0"/>
        </w:rPr>
        <w:t>%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 of females who report concerns about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experiencing </w:t>
      </w:r>
      <w:r w:rsidRPr="005C52B3" w:rsidR="005C52B3">
        <w:rPr>
          <w:rFonts w:ascii="Aptos" w:hAnsi="Aptos" w:cs="Times New Roman"/>
          <w:color w:val="231F20"/>
          <w:kern w:val="0"/>
        </w:rPr>
        <w:t>VAWG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 when </w:t>
      </w:r>
      <w:r w:rsidR="00516E5B">
        <w:rPr>
          <w:rFonts w:ascii="Aptos" w:hAnsi="Aptos" w:cs="Times New Roman"/>
          <w:color w:val="231F20"/>
          <w:kern w:val="0"/>
        </w:rPr>
        <w:t>in/near/around or while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>attending learning environments</w:t>
      </w:r>
    </w:p>
    <w:p w:rsidR="4D608B39" w:rsidP="12B0767F" w:rsidRDefault="4D608B39" w14:paraId="1C39464B" w14:textId="701DB8DB">
      <w:pPr>
        <w:pStyle w:val="ListParagraph"/>
        <w:numPr>
          <w:ilvl w:val="0"/>
          <w:numId w:val="14"/>
        </w:numPr>
        <w:spacing w:after="0" w:line="240" w:lineRule="auto"/>
        <w:rPr>
          <w:noProof w:val="0"/>
          <w:lang w:val="en-US"/>
        </w:rPr>
      </w:pPr>
      <w:r w:rsidRPr="12B0767F" w:rsidR="4D608B39">
        <w:rPr>
          <w:noProof w:val="0"/>
          <w:lang w:val="en-US"/>
        </w:rPr>
        <w:t xml:space="preserve"># or % of schools or learning spaces where management/leadership and/or women/girl learners report that GBV risk mitigation measures implemented in and around facilities have increased </w:t>
      </w:r>
      <w:r w:rsidRPr="12B0767F" w:rsidR="4D608B39">
        <w:rPr>
          <w:b w:val="1"/>
          <w:bCs w:val="1"/>
          <w:noProof w:val="0"/>
          <w:lang w:val="en-US"/>
        </w:rPr>
        <w:t>access</w:t>
      </w:r>
      <w:r w:rsidRPr="12B0767F" w:rsidR="4D608B39">
        <w:rPr>
          <w:noProof w:val="0"/>
          <w:lang w:val="en-US"/>
        </w:rPr>
        <w:t xml:space="preserve"> for women and girls</w:t>
      </w:r>
    </w:p>
    <w:p w:rsidR="162EF185" w:rsidP="12B0767F" w:rsidRDefault="162EF185" w14:paraId="14ECAE68" w14:textId="0A57D1D6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Times New Roman"/>
          <w:color w:val="231F20"/>
        </w:rPr>
      </w:pPr>
      <w:r w:rsidRPr="12B0767F" w:rsidR="162EF185">
        <w:rPr>
          <w:noProof w:val="0"/>
          <w:lang w:val="en-US"/>
        </w:rPr>
        <w:t xml:space="preserve"># or % of schools or learning spaces where management/leadership and/or women/girl learners report that GBV risk mitigation measures implemented in and around facilities have increased </w:t>
      </w:r>
      <w:r w:rsidRPr="12B0767F" w:rsidR="162EF185">
        <w:rPr>
          <w:b w:val="1"/>
          <w:bCs w:val="1"/>
          <w:noProof w:val="0"/>
          <w:lang w:val="en-US"/>
        </w:rPr>
        <w:t>retention</w:t>
      </w:r>
      <w:r w:rsidRPr="12B0767F" w:rsidR="162EF185">
        <w:rPr>
          <w:noProof w:val="0"/>
          <w:lang w:val="en-US"/>
        </w:rPr>
        <w:t xml:space="preserve"> of women and girls</w:t>
      </w:r>
    </w:p>
    <w:p w:rsidR="11607F74" w:rsidP="12B0767F" w:rsidRDefault="11607F74" w14:paraId="4E2B20C1" w14:textId="12416A1D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Times New Roman"/>
          <w:color w:val="231F20"/>
        </w:rPr>
      </w:pPr>
      <w:r w:rsidRPr="12B0767F" w:rsidR="11607F74">
        <w:rPr>
          <w:noProof w:val="0"/>
          <w:lang w:val="en-US"/>
        </w:rPr>
        <w:t>% of women and girls reporting that education services are delivered in a culturally acceptable manner</w:t>
      </w:r>
    </w:p>
    <w:p w:rsidR="756F4708" w:rsidP="17139601" w:rsidRDefault="756F4708" w14:paraId="32A4C7D2" w14:textId="42D5DAEA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</w:pP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# or % of schools with segregated latrines/ WASH facilities</w:t>
      </w:r>
    </w:p>
    <w:p w:rsidR="756F4708" w:rsidP="17139601" w:rsidRDefault="756F4708" w14:paraId="4516E9AA" w14:textId="7794F537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</w:pP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 xml:space="preserve"># or % of children </w:t>
      </w: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benefiting</w:t>
      </w: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 xml:space="preserve"> from WASH facilities </w:t>
      </w: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taking into account</w:t>
      </w: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 xml:space="preserve"> the needs of both sexes</w:t>
      </w:r>
    </w:p>
    <w:p w:rsidR="1B597028" w:rsidP="17139601" w:rsidRDefault="1B597028" w14:paraId="45F6068C" w14:textId="070C3103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</w:pPr>
      <w:r w:rsidRPr="17139601" w:rsidR="1B59702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# children (disaggregated by sex and age) benefiting from school meals</w:t>
      </w:r>
    </w:p>
    <w:p w:rsidR="756F4708" w:rsidP="17139601" w:rsidRDefault="756F4708" w14:paraId="73A5E1AB" w14:textId="42E91D53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</w:pP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 xml:space="preserve"># </w:t>
      </w: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or %</w:t>
      </w:r>
      <w:r w:rsidRPr="17139601" w:rsidR="756F4708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 xml:space="preserve"> of girls who received dignity kits at school.</w:t>
      </w:r>
    </w:p>
    <w:p w:rsidRPr="005C52B3" w:rsidR="003A50C0" w:rsidP="005C52B3" w:rsidRDefault="003A50C0" w14:paraId="5CD31F31" w14:textId="7A62C0F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5C52B3" w:rsidR="003A50C0">
        <w:rPr>
          <w:rFonts w:ascii="Aptos" w:hAnsi="Aptos" w:cs="Times New Roman"/>
          <w:color w:val="231F20"/>
          <w:kern w:val="0"/>
        </w:rPr>
        <w:t>#</w:t>
      </w:r>
      <w:r w:rsidRPr="005C52B3" w:rsidR="12065537">
        <w:rPr>
          <w:rFonts w:ascii="Aptos" w:hAnsi="Aptos" w:cs="Times New Roman"/>
          <w:color w:val="231F20"/>
          <w:kern w:val="0"/>
        </w:rPr>
        <w:t xml:space="preserve"> or </w:t>
      </w:r>
      <w:r w:rsidR="00516E5B">
        <w:rPr>
          <w:rFonts w:ascii="Aptos" w:hAnsi="Aptos" w:cs="Times New Roman"/>
          <w:color w:val="231F20"/>
          <w:kern w:val="0"/>
        </w:rPr>
        <w:t>%</w:t>
      </w:r>
      <w:r w:rsidR="4F39D54E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of persons who </w:t>
      </w:r>
      <w:r w:rsidRPr="005C52B3" w:rsidR="003A50C0">
        <w:rPr>
          <w:rFonts w:ascii="Aptos" w:hAnsi="Aptos" w:cs="Times New Roman"/>
          <w:color w:val="231F20"/>
          <w:kern w:val="0"/>
        </w:rPr>
        <w:t>participate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 in</w:t>
      </w:r>
      <w:r w:rsidRPr="005C52B3" w:rsidR="6BDFCE85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community-based </w:t>
      </w:r>
      <w:r w:rsidRPr="005C52B3" w:rsidR="18E2CA94">
        <w:rPr>
          <w:rFonts w:ascii="Aptos" w:hAnsi="Aptos" w:cs="Times New Roman"/>
          <w:color w:val="231F20"/>
          <w:kern w:val="0"/>
        </w:rPr>
        <w:t xml:space="preserve">education </w:t>
      </w:r>
      <w:r w:rsidRPr="005C52B3" w:rsidR="003A50C0">
        <w:rPr>
          <w:rFonts w:ascii="Aptos" w:hAnsi="Aptos" w:cs="Times New Roman"/>
          <w:color w:val="231F20"/>
          <w:kern w:val="0"/>
        </w:rPr>
        <w:t>committees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>who are female</w:t>
      </w:r>
    </w:p>
    <w:p w:rsidR="1CF6E851" w:rsidP="17139601" w:rsidRDefault="1CF6E851" w14:paraId="2F8151E9" w14:textId="23295D3F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</w:pPr>
      <w:r w:rsidRPr="1DAEB6F0" w:rsidR="1CF6E851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 xml:space="preserve"># of </w:t>
      </w:r>
      <w:r w:rsidRPr="1DAEB6F0" w:rsidR="66887DA7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Parent-Teacher Association</w:t>
      </w:r>
      <w:r w:rsidRPr="1DAEB6F0" w:rsidR="1CF6E851">
        <w:rPr>
          <w:rFonts w:ascii="Aptos" w:hAnsi="Aptos" w:eastAsia="Aptos" w:cs="Times New Roman"/>
          <w:noProof w:val="0"/>
          <w:color w:val="231F20"/>
          <w:sz w:val="24"/>
          <w:szCs w:val="24"/>
          <w:lang w:val="en-US"/>
        </w:rPr>
        <w:t>s/Students’ Mother’s Associations trained and supported for the inclusion and retention of girls in schools</w:t>
      </w:r>
    </w:p>
    <w:p w:rsidRPr="005C52B3" w:rsidR="003A50C0" w:rsidP="005C52B3" w:rsidRDefault="003A50C0" w14:paraId="05E9A37B" w14:textId="7EEFA783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5C52B3">
        <w:rPr>
          <w:rFonts w:ascii="Aptos" w:hAnsi="Aptos" w:cs="Times New Roman"/>
          <w:color w:val="231F20"/>
          <w:kern w:val="0"/>
        </w:rPr>
        <w:t>Ratio of male/female teachers</w:t>
      </w:r>
      <w:r w:rsidR="00516E5B">
        <w:rPr>
          <w:rFonts w:ascii="Aptos" w:hAnsi="Aptos" w:cs="Times New Roman"/>
          <w:color w:val="231F20"/>
          <w:kern w:val="0"/>
        </w:rPr>
        <w:t>:</w:t>
      </w:r>
      <w:r w:rsidRPr="005C52B3">
        <w:rPr>
          <w:rFonts w:ascii="Aptos" w:hAnsi="Aptos" w:cs="Times New Roman"/>
          <w:color w:val="231F20"/>
          <w:kern w:val="0"/>
        </w:rPr>
        <w:t xml:space="preserve"> </w:t>
      </w:r>
      <w:r w:rsidRPr="005C52B3">
        <w:rPr>
          <w:rFonts w:ascii="Aptos" w:hAnsi="Aptos" w:cs="Times New Roman"/>
          <w:color w:val="231F20"/>
          <w:kern w:val="0"/>
        </w:rPr>
        <w:t># of female teachers teaching in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>
        <w:rPr>
          <w:rFonts w:ascii="Aptos" w:hAnsi="Aptos" w:cs="Times New Roman"/>
          <w:color w:val="231F20"/>
          <w:kern w:val="0"/>
        </w:rPr>
        <w:t>affected areas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/ </w:t>
      </w:r>
      <w:r w:rsidRPr="005C52B3">
        <w:rPr>
          <w:rFonts w:ascii="Aptos" w:hAnsi="Aptos" w:cs="Times New Roman"/>
          <w:color w:val="231F20"/>
          <w:kern w:val="0"/>
        </w:rPr>
        <w:t># of male teachers teaching in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>
        <w:rPr>
          <w:rFonts w:ascii="Aptos" w:hAnsi="Aptos" w:cs="Times New Roman"/>
          <w:color w:val="231F20"/>
          <w:kern w:val="0"/>
        </w:rPr>
        <w:t>affected areas</w:t>
      </w:r>
    </w:p>
    <w:p w:rsidRPr="005C52B3" w:rsidR="003A50C0" w:rsidP="005C52B3" w:rsidRDefault="003A50C0" w14:paraId="18F2AD49" w14:textId="1AC9899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5C52B3">
        <w:rPr>
          <w:rFonts w:ascii="Aptos" w:hAnsi="Aptos" w:cs="Times New Roman"/>
          <w:color w:val="231F20"/>
          <w:kern w:val="0"/>
        </w:rPr>
        <w:t>Ratio of boy/girl learners</w:t>
      </w:r>
      <w:r w:rsidR="00516E5B">
        <w:rPr>
          <w:rFonts w:ascii="Aptos" w:hAnsi="Aptos" w:cs="Times New Roman"/>
          <w:color w:val="231F20"/>
          <w:kern w:val="0"/>
        </w:rPr>
        <w:t>:</w:t>
      </w:r>
      <w:r w:rsidRPr="005C52B3">
        <w:rPr>
          <w:rFonts w:ascii="Aptos" w:hAnsi="Aptos" w:cs="Times New Roman"/>
          <w:color w:val="231F20"/>
          <w:kern w:val="0"/>
        </w:rPr>
        <w:t xml:space="preserve"> </w:t>
      </w:r>
      <w:r w:rsidRPr="005C52B3">
        <w:rPr>
          <w:rFonts w:ascii="Aptos" w:hAnsi="Aptos" w:cs="Times New Roman"/>
          <w:color w:val="231F20"/>
          <w:kern w:val="0"/>
        </w:rPr>
        <w:t># of females attending learning spaces</w:t>
      </w:r>
      <w:r w:rsidRPr="005C52B3" w:rsidR="005C52B3">
        <w:rPr>
          <w:rFonts w:ascii="Aptos" w:hAnsi="Aptos" w:cs="Times New Roman"/>
          <w:color w:val="231F20"/>
          <w:kern w:val="0"/>
        </w:rPr>
        <w:t>/</w:t>
      </w:r>
      <w:r w:rsidRPr="005C52B3">
        <w:rPr>
          <w:rFonts w:ascii="Aptos" w:hAnsi="Aptos" w:cs="Times New Roman"/>
          <w:color w:val="231F20"/>
          <w:kern w:val="0"/>
        </w:rPr>
        <w:t>schools in affected areas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/ </w:t>
      </w:r>
      <w:r w:rsidRPr="005C52B3">
        <w:rPr>
          <w:rFonts w:ascii="Aptos" w:hAnsi="Aptos" w:cs="Times New Roman"/>
          <w:color w:val="231F20"/>
          <w:kern w:val="0"/>
        </w:rPr>
        <w:t># of males attending learning spaces/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>
        <w:rPr>
          <w:rFonts w:ascii="Aptos" w:hAnsi="Aptos" w:cs="Times New Roman"/>
          <w:color w:val="231F20"/>
          <w:kern w:val="0"/>
        </w:rPr>
        <w:t>schools in affected areas</w:t>
      </w:r>
      <w:r w:rsidRPr="005C52B3">
        <w:rPr>
          <w:rFonts w:ascii="Aptos" w:hAnsi="Aptos" w:cs="Times New Roman"/>
          <w:color w:val="231F20"/>
          <w:kern w:val="0"/>
        </w:rPr>
        <w:t>, disaggregated by age</w:t>
      </w:r>
    </w:p>
    <w:p w:rsidRPr="005C52B3" w:rsidR="003A50C0" w:rsidP="005C52B3" w:rsidRDefault="00516E5B" w14:paraId="1FFEEA67" w14:textId="79B9849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="00516E5B">
        <w:rPr>
          <w:rFonts w:ascii="Aptos" w:hAnsi="Aptos" w:cs="Times New Roman"/>
          <w:color w:val="231F20"/>
          <w:kern w:val="0"/>
        </w:rPr>
        <w:t>%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 of active-duty education staff who have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signed a </w:t>
      </w:r>
      <w:r w:rsidRPr="005C52B3" w:rsidR="56232036">
        <w:rPr>
          <w:rFonts w:ascii="Aptos" w:hAnsi="Aptos" w:cs="Times New Roman"/>
          <w:color w:val="231F20"/>
          <w:kern w:val="0"/>
        </w:rPr>
        <w:t>C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ode of </w:t>
      </w:r>
      <w:r w:rsidRPr="005C52B3" w:rsidR="6913882B">
        <w:rPr>
          <w:rFonts w:ascii="Aptos" w:hAnsi="Aptos" w:cs="Times New Roman"/>
          <w:color w:val="231F20"/>
          <w:kern w:val="0"/>
        </w:rPr>
        <w:t>C</w:t>
      </w:r>
      <w:r w:rsidRPr="005C52B3" w:rsidR="003A50C0">
        <w:rPr>
          <w:rFonts w:ascii="Aptos" w:hAnsi="Aptos" w:cs="Times New Roman"/>
          <w:color w:val="231F20"/>
          <w:kern w:val="0"/>
        </w:rPr>
        <w:t>onduct</w:t>
      </w:r>
    </w:p>
    <w:p w:rsidR="6696ED74" w:rsidP="17139601" w:rsidRDefault="6696ED74" w14:paraId="2BFFE29C" w14:textId="25D13514">
      <w:pPr>
        <w:pStyle w:val="ListParagraph"/>
        <w:numPr>
          <w:ilvl w:val="0"/>
          <w:numId w:val="14"/>
        </w:numPr>
        <w:spacing w:after="0" w:line="240" w:lineRule="auto"/>
        <w:rPr>
          <w:rFonts w:ascii="Aptos" w:hAnsi="Aptos" w:cs="Times New Roman"/>
          <w:color w:val="231F20"/>
        </w:rPr>
      </w:pPr>
      <w:r w:rsidRPr="17139601" w:rsidR="6696ED74">
        <w:rPr>
          <w:rFonts w:ascii="Aptos" w:hAnsi="Aptos" w:cs="Times New Roman"/>
          <w:color w:val="231F20"/>
        </w:rPr>
        <w:t># or % of schools with child safeguarding mechanisms</w:t>
      </w:r>
    </w:p>
    <w:p w:rsidRPr="005C52B3" w:rsidR="003A50C0" w:rsidP="005C52B3" w:rsidRDefault="00516E5B" w14:paraId="37FC79AA" w14:textId="2FBCB787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="00516E5B">
        <w:rPr>
          <w:rFonts w:ascii="Aptos" w:hAnsi="Aptos" w:cs="Times New Roman"/>
          <w:color w:val="231F20"/>
          <w:kern w:val="0"/>
        </w:rPr>
        <w:t>%</w:t>
      </w:r>
      <w:r w:rsidRPr="005C52B3" w:rsidR="003A50C0">
        <w:rPr>
          <w:rFonts w:ascii="Aptos" w:hAnsi="Aptos" w:cs="Times New Roman"/>
          <w:color w:val="231F20"/>
          <w:kern w:val="0"/>
        </w:rPr>
        <w:t xml:space="preserve"> of schools/learning sites with a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>reporting and referral mechanism for</w:t>
      </w:r>
      <w:r w:rsidRPr="005C52B3" w:rsidR="005C52B3">
        <w:rPr>
          <w:rFonts w:ascii="Aptos" w:hAnsi="Aptos" w:cs="Times New Roman"/>
          <w:color w:val="231F20"/>
          <w:kern w:val="0"/>
        </w:rPr>
        <w:t xml:space="preserve"> </w:t>
      </w:r>
      <w:r w:rsidRPr="005C52B3" w:rsidR="003A50C0">
        <w:rPr>
          <w:rFonts w:ascii="Aptos" w:hAnsi="Aptos" w:cs="Times New Roman"/>
          <w:color w:val="231F20"/>
          <w:kern w:val="0"/>
        </w:rPr>
        <w:t>survivors</w:t>
      </w:r>
      <w:r w:rsidR="00516E5B">
        <w:rPr>
          <w:rFonts w:ascii="Aptos" w:hAnsi="Aptos" w:cs="Times New Roman"/>
          <w:color w:val="231F20"/>
          <w:kern w:val="0"/>
        </w:rPr>
        <w:t xml:space="preserve"> of </w:t>
      </w:r>
      <w:r w:rsidR="12941253">
        <w:rPr>
          <w:rFonts w:ascii="Aptos" w:hAnsi="Aptos" w:cs="Times New Roman"/>
          <w:color w:val="231F20"/>
          <w:kern w:val="0"/>
        </w:rPr>
        <w:t xml:space="preserve">GBV</w:t>
      </w:r>
      <w:r w:rsidR="07416AD4">
        <w:rPr>
          <w:rFonts w:ascii="Aptos" w:hAnsi="Aptos" w:cs="Times New Roman"/>
          <w:color w:val="231F20"/>
          <w:kern w:val="0"/>
        </w:rPr>
        <w:t xml:space="preserve">, adapted </w:t>
      </w:r>
      <w:r w:rsidR="7272ED61">
        <w:rPr>
          <w:rFonts w:ascii="Aptos" w:hAnsi="Aptos" w:cs="Times New Roman"/>
          <w:color w:val="231F20"/>
          <w:kern w:val="0"/>
        </w:rPr>
        <w:t xml:space="preserve">for</w:t>
      </w:r>
      <w:r w:rsidR="07416AD4">
        <w:rPr>
          <w:rFonts w:ascii="Aptos" w:hAnsi="Aptos" w:cs="Times New Roman"/>
          <w:color w:val="231F20"/>
          <w:kern w:val="0"/>
        </w:rPr>
        <w:t xml:space="preserve"> children</w:t>
      </w:r>
    </w:p>
    <w:p w:rsidRPr="005C52B3" w:rsidR="003A50C0" w:rsidP="005C52B3" w:rsidRDefault="003A50C0" w14:paraId="127182FE" w14:textId="77777777">
      <w:pPr>
        <w:spacing w:after="0" w:line="240" w:lineRule="auto"/>
        <w:rPr>
          <w:rFonts w:ascii="Aptos" w:hAnsi="Aptos" w:cs="Times New Roman"/>
          <w:i/>
          <w:iCs/>
          <w:color w:val="231F20"/>
          <w:kern w:val="0"/>
        </w:rPr>
      </w:pPr>
    </w:p>
    <w:p w:rsidRPr="005C52B3" w:rsidR="003A50C0" w:rsidP="005C52B3" w:rsidRDefault="00AB5885" w14:paraId="4D0FB020" w14:textId="60F37587">
      <w:pPr>
        <w:spacing w:after="0" w:line="240" w:lineRule="auto"/>
        <w:rPr>
          <w:rFonts w:ascii="Aptos" w:hAnsi="Aptos" w:cs="Times New Roman"/>
          <w:b w:val="1"/>
          <w:bCs w:val="1"/>
          <w:color w:val="231F20"/>
          <w:kern w:val="0"/>
          <w:u w:val="single"/>
        </w:rPr>
      </w:pPr>
      <w:bookmarkStart w:name="FSA" w:id="6"/>
      <w:r w:rsidRPr="005C52B3" w:rsidR="00AB5885">
        <w:rPr>
          <w:rFonts w:ascii="Aptos" w:hAnsi="Aptos" w:cs="Times New Roman"/>
          <w:b w:val="1"/>
          <w:bCs w:val="1"/>
          <w:color w:val="231F20"/>
          <w:kern w:val="0"/>
          <w:u w:val="single"/>
        </w:rPr>
        <w:t>FOOD SECURITY AND AGRICULTURE</w:t>
      </w:r>
      <w:r w:rsidRPr="005C52B3" w:rsidR="7717B838">
        <w:rPr>
          <w:rFonts w:ascii="Aptos" w:hAnsi="Aptos" w:cs="Times New Roman"/>
          <w:b w:val="1"/>
          <w:bCs w:val="1"/>
          <w:color w:val="231F20"/>
          <w:kern w:val="0"/>
          <w:u w:val="single"/>
        </w:rPr>
        <w:t xml:space="preserve"> (FSA)</w:t>
      </w:r>
    </w:p>
    <w:bookmarkEnd w:id="6"/>
    <w:p w:rsidR="1DAEB6F0" w:rsidP="1DAEB6F0" w:rsidRDefault="1DAEB6F0" w14:paraId="096BABEB" w14:textId="1304653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cs="Times New Roman"/>
          <w:i w:val="1"/>
          <w:iCs w:val="1"/>
          <w:color w:val="231F20"/>
        </w:rPr>
      </w:pPr>
    </w:p>
    <w:p w:rsidRPr="00516E5B" w:rsidR="003A50C0" w:rsidP="00516E5B" w:rsidRDefault="00516E5B" w14:paraId="643B4353" w14:textId="24C8FEE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516E5B">
        <w:rPr>
          <w:rFonts w:ascii="Aptos" w:hAnsi="Aptos" w:cs="Times New Roman"/>
          <w:color w:val="231F20"/>
          <w:kern w:val="0"/>
        </w:rPr>
        <w:t>%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of affected </w:t>
      </w:r>
      <w:r>
        <w:rPr>
          <w:rFonts w:ascii="Aptos" w:hAnsi="Aptos" w:cs="Times New Roman"/>
          <w:color w:val="231F20"/>
          <w:kern w:val="0"/>
        </w:rPr>
        <w:t>females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who participate in</w:t>
      </w:r>
      <w:r w:rsidRP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>FSA-related community-based committees</w:t>
      </w:r>
    </w:p>
    <w:p w:rsidRPr="00516E5B" w:rsidR="003A50C0" w:rsidP="00516E5B" w:rsidRDefault="00516E5B" w14:paraId="478C97F2" w14:textId="32273585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  <w:u w:val="none"/>
        </w:rPr>
      </w:pPr>
      <w:r w:rsidR="00516E5B">
        <w:rPr>
          <w:rFonts w:ascii="Aptos" w:hAnsi="Aptos" w:cs="Times New Roman"/>
          <w:color w:val="231F20"/>
          <w:kern w:val="0"/>
        </w:rPr>
        <w:t>%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of affected </w:t>
      </w:r>
      <w:r w:rsidR="00516E5B">
        <w:rPr>
          <w:rFonts w:ascii="Aptos" w:hAnsi="Aptos" w:cs="Times New Roman"/>
          <w:color w:val="231F20"/>
          <w:kern w:val="0"/>
        </w:rPr>
        <w:t>females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who report concerns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about experiencing </w:t>
      </w:r>
      <w:r w:rsidR="00516E5B">
        <w:rPr>
          <w:rFonts w:ascii="Aptos" w:hAnsi="Aptos" w:cs="Times New Roman"/>
          <w:color w:val="231F20"/>
          <w:kern w:val="0"/>
        </w:rPr>
        <w:t>VAWG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</w:t>
      </w:r>
      <w:r w:rsidR="00516E5B">
        <w:rPr>
          <w:rFonts w:ascii="Aptos" w:hAnsi="Aptos" w:cs="Times New Roman"/>
          <w:color w:val="231F20"/>
          <w:kern w:val="0"/>
        </w:rPr>
        <w:t xml:space="preserve">in/near/around or while 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participating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in</w:t>
      </w:r>
      <w:r w:rsidRPr="00516E5B" w:rsidR="003A50C0">
        <w:rPr>
          <w:rFonts w:ascii="Aptos" w:hAnsi="Aptos" w:cs="Times New Roman"/>
          <w:color w:val="231F20"/>
          <w:kern w:val="0"/>
          <w:u w:val="none"/>
        </w:rPr>
        <w:t xml:space="preserve"> </w:t>
      </w:r>
      <w:r w:rsidRPr="12B0767F" w:rsidR="003A50C0">
        <w:rPr>
          <w:rFonts w:ascii="Aptos" w:hAnsi="Aptos" w:cs="Times New Roman"/>
          <w:color w:val="231F20"/>
          <w:kern w:val="0"/>
          <w:u w:val="none"/>
        </w:rPr>
        <w:t>commodity- or cash-based</w:t>
      </w:r>
      <w:r w:rsidRPr="12B0767F" w:rsidR="00516E5B">
        <w:rPr>
          <w:rFonts w:ascii="Aptos" w:hAnsi="Aptos" w:cs="Times New Roman"/>
          <w:color w:val="231F20"/>
          <w:kern w:val="0"/>
          <w:u w:val="none"/>
        </w:rPr>
        <w:t xml:space="preserve"> </w:t>
      </w:r>
      <w:r w:rsidRPr="12B0767F" w:rsidR="003A50C0">
        <w:rPr>
          <w:rFonts w:ascii="Aptos" w:hAnsi="Aptos" w:cs="Times New Roman"/>
          <w:color w:val="231F20"/>
          <w:kern w:val="0"/>
          <w:u w:val="none"/>
        </w:rPr>
        <w:t>interventions</w:t>
      </w:r>
      <w:r w:rsidR="00516E5B">
        <w:rPr>
          <w:rFonts w:ascii="Aptos" w:hAnsi="Aptos" w:cs="Times New Roman"/>
          <w:color w:val="231F20"/>
          <w:kern w:val="0"/>
          <w:u w:val="none"/>
        </w:rPr>
        <w:t xml:space="preserve">, disaggregated by age, </w:t>
      </w:r>
      <w:r w:rsidR="00516E5B">
        <w:rPr>
          <w:rFonts w:ascii="Aptos" w:hAnsi="Aptos" w:cs="Times New Roman"/>
          <w:color w:val="231F20"/>
          <w:kern w:val="0"/>
          <w:u w:val="none"/>
        </w:rPr>
        <w:t>disability</w:t>
      </w:r>
      <w:r w:rsidR="00516E5B">
        <w:rPr>
          <w:rFonts w:ascii="Aptos" w:hAnsi="Aptos" w:cs="Times New Roman"/>
          <w:color w:val="231F20"/>
          <w:kern w:val="0"/>
          <w:u w:val="none"/>
        </w:rPr>
        <w:t xml:space="preserve"> and other vulnerability factors</w:t>
      </w:r>
    </w:p>
    <w:p w:rsidRPr="00516E5B" w:rsidR="00702868" w:rsidP="00702868" w:rsidRDefault="00702868" w14:paraId="7B6CDE5B" w14:textId="77777777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516E5B" w:rsidR="00702868">
        <w:rPr>
          <w:rFonts w:ascii="Aptos" w:hAnsi="Aptos" w:cs="Times New Roman"/>
          <w:color w:val="231F20"/>
          <w:kern w:val="0"/>
          <w:u w:val="none"/>
        </w:rPr>
        <w:lastRenderedPageBreak/>
        <w:t xml:space="preserve">Risk factors </w:t>
      </w:r>
      <w:r w:rsidR="00702868">
        <w:rPr>
          <w:rFonts w:ascii="Aptos" w:hAnsi="Aptos" w:cs="Times New Roman"/>
          <w:color w:val="231F20"/>
          <w:kern w:val="0"/>
          <w:u w:val="none"/>
        </w:rPr>
        <w:t xml:space="preserve">for VAWG </w:t>
      </w:r>
      <w:r w:rsidRPr="00516E5B" w:rsidR="00702868">
        <w:rPr>
          <w:rFonts w:ascii="Aptos" w:hAnsi="Aptos" w:cs="Times New Roman"/>
          <w:color w:val="231F20"/>
          <w:kern w:val="0"/>
          <w:u w:val="none"/>
        </w:rPr>
        <w:t xml:space="preserve">in and around </w:t>
      </w:r>
      <w:r w:rsidRPr="12B0767F" w:rsidR="00702868">
        <w:rPr>
          <w:rFonts w:ascii="Aptos" w:hAnsi="Aptos" w:cs="Times New Roman"/>
          <w:color w:val="231F20"/>
          <w:kern w:val="0"/>
          <w:u w:val="none"/>
        </w:rPr>
        <w:t>FSA-related distribution sites</w:t>
      </w:r>
      <w:r w:rsidRPr="00516E5B" w:rsidR="00702868">
        <w:rPr>
          <w:rFonts w:ascii="Aptos" w:hAnsi="Aptos" w:cs="Times New Roman"/>
          <w:color w:val="231F20"/>
          <w:kern w:val="0"/>
        </w:rPr>
        <w:t xml:space="preserve">: </w:t>
      </w:r>
      <w:r w:rsidR="00702868">
        <w:rPr>
          <w:rFonts w:ascii="Aptos" w:hAnsi="Aptos" w:cs="Times New Roman"/>
          <w:color w:val="231F20"/>
          <w:kern w:val="0"/>
        </w:rPr>
        <w:t xml:space="preserve"> %</w:t>
      </w:r>
      <w:r w:rsidRPr="00516E5B" w:rsidR="00702868">
        <w:rPr>
          <w:rFonts w:ascii="Aptos" w:hAnsi="Aptos" w:cs="Times New Roman"/>
          <w:color w:val="231F20"/>
          <w:kern w:val="0"/>
        </w:rPr>
        <w:t xml:space="preserve"> of affected </w:t>
      </w:r>
      <w:r w:rsidR="00702868">
        <w:rPr>
          <w:rFonts w:ascii="Aptos" w:hAnsi="Aptos" w:cs="Times New Roman"/>
          <w:color w:val="231F20"/>
          <w:kern w:val="0"/>
        </w:rPr>
        <w:t>females</w:t>
      </w:r>
      <w:r w:rsidRPr="00516E5B" w:rsidR="00702868">
        <w:rPr>
          <w:rFonts w:ascii="Aptos" w:hAnsi="Aptos" w:cs="Times New Roman"/>
          <w:color w:val="231F20"/>
          <w:kern w:val="0"/>
        </w:rPr>
        <w:t xml:space="preserve"> who report concerns about experiencing </w:t>
      </w:r>
      <w:r w:rsidR="00702868">
        <w:rPr>
          <w:rFonts w:ascii="Aptos" w:hAnsi="Aptos" w:cs="Times New Roman"/>
          <w:color w:val="231F20"/>
          <w:kern w:val="0"/>
        </w:rPr>
        <w:t>VAWG</w:t>
      </w:r>
      <w:r w:rsidRPr="00516E5B" w:rsidR="00702868">
        <w:rPr>
          <w:rFonts w:ascii="Aptos" w:hAnsi="Aptos" w:cs="Times New Roman"/>
          <w:color w:val="231F20"/>
          <w:kern w:val="0"/>
        </w:rPr>
        <w:t xml:space="preserve"> </w:t>
      </w:r>
      <w:r w:rsidR="00702868">
        <w:rPr>
          <w:rFonts w:ascii="Aptos" w:hAnsi="Aptos" w:cs="Times New Roman"/>
          <w:color w:val="231F20"/>
          <w:kern w:val="0"/>
        </w:rPr>
        <w:t>in/near/around</w:t>
      </w:r>
      <w:r w:rsidRPr="00516E5B" w:rsidR="00702868">
        <w:rPr>
          <w:rFonts w:ascii="Aptos" w:hAnsi="Aptos" w:cs="Times New Roman"/>
          <w:color w:val="231F20"/>
          <w:kern w:val="0"/>
        </w:rPr>
        <w:t xml:space="preserve"> FSA-related distribution sites</w:t>
      </w:r>
    </w:p>
    <w:p w:rsidRPr="00516E5B" w:rsidR="003A50C0" w:rsidP="00516E5B" w:rsidRDefault="003A50C0" w14:paraId="3C36DD02" w14:textId="7F32C5E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516E5B">
        <w:rPr>
          <w:rFonts w:ascii="Aptos" w:hAnsi="Aptos" w:cs="Times New Roman"/>
          <w:color w:val="231F20"/>
          <w:kern w:val="0"/>
        </w:rPr>
        <w:t>Control over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>
        <w:rPr>
          <w:rFonts w:ascii="Aptos" w:hAnsi="Aptos" w:cs="Times New Roman"/>
          <w:color w:val="231F20"/>
          <w:kern w:val="0"/>
        </w:rPr>
        <w:t>agricultural inputs or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>
        <w:rPr>
          <w:rFonts w:ascii="Aptos" w:hAnsi="Aptos" w:cs="Times New Roman"/>
          <w:color w:val="231F20"/>
          <w:kern w:val="0"/>
        </w:rPr>
        <w:t>livestock by female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>
        <w:rPr>
          <w:rFonts w:ascii="Aptos" w:hAnsi="Aptos" w:cs="Times New Roman"/>
          <w:color w:val="231F20"/>
          <w:kern w:val="0"/>
        </w:rPr>
        <w:t>affected persons</w:t>
      </w:r>
      <w:r w:rsidR="00516E5B">
        <w:rPr>
          <w:rFonts w:ascii="Aptos" w:hAnsi="Aptos" w:cs="Times New Roman"/>
          <w:color w:val="231F20"/>
          <w:kern w:val="0"/>
        </w:rPr>
        <w:t xml:space="preserve">: </w:t>
      </w:r>
      <w:r w:rsidRP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516E5B">
        <w:rPr>
          <w:rFonts w:ascii="Aptos" w:hAnsi="Aptos" w:cs="Times New Roman"/>
          <w:color w:val="231F20"/>
          <w:kern w:val="0"/>
        </w:rPr>
        <w:t>%</w:t>
      </w:r>
      <w:r w:rsidRPr="00516E5B">
        <w:rPr>
          <w:rFonts w:ascii="Aptos" w:hAnsi="Aptos" w:cs="Times New Roman"/>
          <w:color w:val="231F20"/>
          <w:kern w:val="0"/>
        </w:rPr>
        <w:t xml:space="preserve"> of females who report retaining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>
        <w:rPr>
          <w:rFonts w:ascii="Aptos" w:hAnsi="Aptos" w:cs="Times New Roman"/>
          <w:color w:val="231F20"/>
          <w:kern w:val="0"/>
        </w:rPr>
        <w:t>control over agricultural inputs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>
        <w:rPr>
          <w:rFonts w:ascii="Aptos" w:hAnsi="Aptos" w:cs="Times New Roman"/>
          <w:color w:val="231F20"/>
          <w:kern w:val="0"/>
        </w:rPr>
        <w:t>and/or livestock</w:t>
      </w:r>
    </w:p>
    <w:p w:rsidRPr="00516E5B" w:rsidR="003A50C0" w:rsidP="00516E5B" w:rsidRDefault="003A50C0" w14:paraId="111614BE" w14:textId="6278F67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516E5B" w:rsidR="003A50C0">
        <w:rPr>
          <w:rFonts w:ascii="Aptos" w:hAnsi="Aptos" w:cs="Times New Roman"/>
          <w:color w:val="231F20"/>
          <w:kern w:val="0"/>
        </w:rPr>
        <w:t>Change in time,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>frequency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and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/or </w:t>
      </w:r>
      <w:r w:rsidRPr="00516E5B" w:rsidR="003A50C0">
        <w:rPr>
          <w:rFonts w:ascii="Aptos" w:hAnsi="Aptos" w:cs="Times New Roman"/>
          <w:color w:val="231F20"/>
          <w:kern w:val="0"/>
        </w:rPr>
        <w:t>distance for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>collecting fuel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>or firewood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: </w:t>
      </w:r>
      <w:r w:rsidRPr="00516E5B" w:rsidR="003A50C0">
        <w:rPr>
          <w:rFonts w:ascii="Aptos" w:hAnsi="Aptos" w:cs="Times New Roman"/>
          <w:color w:val="231F20"/>
          <w:kern w:val="0"/>
        </w:rPr>
        <w:t>time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, </w:t>
      </w:r>
      <w:r w:rsidRPr="00516E5B" w:rsidR="003A50C0">
        <w:rPr>
          <w:rFonts w:ascii="Aptos" w:hAnsi="Aptos" w:cs="Times New Roman"/>
          <w:color w:val="231F20"/>
          <w:kern w:val="0"/>
        </w:rPr>
        <w:t>frequenc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y, or </w:t>
      </w:r>
      <w:r w:rsidRPr="00516E5B" w:rsidR="003A50C0">
        <w:rPr>
          <w:rFonts w:ascii="Aptos" w:hAnsi="Aptos" w:cs="Times New Roman"/>
          <w:color w:val="231F20"/>
          <w:kern w:val="0"/>
        </w:rPr>
        <w:t>distance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for collecting fuel or firewood </w:t>
      </w:r>
      <w:r w:rsidRPr="00516E5B" w:rsidR="00516E5B">
        <w:rPr>
          <w:rFonts w:ascii="Aptos" w:hAnsi="Aptos" w:cs="Times New Roman"/>
          <w:color w:val="231F20"/>
          <w:kern w:val="0"/>
        </w:rPr>
        <w:t>/</w:t>
      </w:r>
      <w:r w:rsidRPr="00516E5B" w:rsidR="003A50C0">
        <w:rPr>
          <w:rFonts w:ascii="Aptos" w:hAnsi="Aptos" w:cs="Times New Roman"/>
          <w:color w:val="231F20"/>
          <w:kern w:val="0"/>
        </w:rPr>
        <w:t xml:space="preserve"> baseline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>time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, </w:t>
      </w:r>
      <w:r w:rsidRPr="00516E5B" w:rsidR="003A50C0">
        <w:rPr>
          <w:rFonts w:ascii="Aptos" w:hAnsi="Aptos" w:cs="Times New Roman"/>
          <w:color w:val="231F20"/>
          <w:kern w:val="0"/>
        </w:rPr>
        <w:t>frequency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, or </w:t>
      </w:r>
      <w:r w:rsidRPr="00516E5B" w:rsidR="003A50C0">
        <w:rPr>
          <w:rFonts w:ascii="Aptos" w:hAnsi="Aptos" w:cs="Times New Roman"/>
          <w:color w:val="231F20"/>
          <w:kern w:val="0"/>
        </w:rPr>
        <w:t>distance for collecting</w:t>
      </w:r>
      <w:r w:rsidRPr="00516E5B" w:rsidR="00516E5B">
        <w:rPr>
          <w:rFonts w:ascii="Aptos" w:hAnsi="Aptos" w:cs="Times New Roman"/>
          <w:color w:val="231F20"/>
          <w:kern w:val="0"/>
        </w:rPr>
        <w:t xml:space="preserve"> </w:t>
      </w:r>
      <w:r w:rsidRPr="00516E5B" w:rsidR="003A50C0">
        <w:rPr>
          <w:rFonts w:ascii="Aptos" w:hAnsi="Aptos" w:cs="Times New Roman"/>
          <w:color w:val="231F20"/>
          <w:kern w:val="0"/>
        </w:rPr>
        <w:t>fuel or firewood</w:t>
      </w:r>
      <w:r w:rsidRPr="00516E5B" w:rsidR="552A4A58">
        <w:rPr>
          <w:rFonts w:ascii="Aptos" w:hAnsi="Aptos" w:cs="Times New Roman"/>
          <w:color w:val="231F20"/>
          <w:kern w:val="0"/>
        </w:rPr>
        <w:t>.</w:t>
      </w:r>
    </w:p>
    <w:p w:rsidR="00516E5B" w:rsidP="005C52B3" w:rsidRDefault="00516E5B" w14:paraId="55EEB959" w14:textId="77777777">
      <w:pPr>
        <w:spacing w:after="0" w:line="240" w:lineRule="auto"/>
        <w:rPr>
          <w:rFonts w:ascii="Aptos" w:hAnsi="Aptos"/>
          <w:b/>
          <w:bCs/>
          <w:u w:val="single"/>
        </w:rPr>
      </w:pPr>
    </w:p>
    <w:p w:rsidRPr="005C52B3" w:rsidR="003A50C0" w:rsidP="005C52B3" w:rsidRDefault="003A50C0" w14:paraId="30F42975" w14:textId="2D1D3E60">
      <w:pPr>
        <w:spacing w:after="0" w:line="240" w:lineRule="auto"/>
        <w:rPr>
          <w:rFonts w:ascii="Aptos" w:hAnsi="Aptos"/>
          <w:b w:val="1"/>
          <w:bCs w:val="1"/>
          <w:u w:val="single"/>
        </w:rPr>
      </w:pPr>
      <w:bookmarkStart w:name="Health" w:id="7"/>
      <w:r w:rsidRPr="12B0767F" w:rsidR="003A50C0">
        <w:rPr>
          <w:rFonts w:ascii="Aptos" w:hAnsi="Aptos"/>
          <w:b w:val="1"/>
          <w:bCs w:val="1"/>
          <w:u w:val="single"/>
        </w:rPr>
        <w:t>HEALTH</w:t>
      </w:r>
    </w:p>
    <w:bookmarkEnd w:id="7"/>
    <w:p w:rsidRPr="005C52B3" w:rsidR="003A50C0" w:rsidP="12B0767F" w:rsidRDefault="003A50C0" w14:paraId="67BD6C20" w14:textId="51EF45E9">
      <w:pPr>
        <w:spacing w:after="0" w:line="240" w:lineRule="auto"/>
        <w:rPr>
          <w:rFonts w:ascii="Aptos" w:hAnsi="Aptos"/>
          <w:b w:val="1"/>
          <w:bCs w:val="1"/>
          <w:u w:val="single"/>
        </w:rPr>
      </w:pPr>
    </w:p>
    <w:p w:rsidRPr="005C52B3" w:rsidR="003A50C0" w:rsidP="12B0767F" w:rsidRDefault="003A50C0" w14:paraId="1357D5CF" w14:textId="72D4FD5D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or % of health facilities that have undergone a safety audit; % of audit recommendations acted upon</w:t>
      </w:r>
    </w:p>
    <w:p w:rsidRPr="005C52B3" w:rsidR="003A50C0" w:rsidP="12B0767F" w:rsidRDefault="003A50C0" w14:paraId="5C659C19" w14:textId="5DC13121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health facilities with clinical staff who are trained on clinical care for sexual assault (CCSA) and other forms of VAWG</w:t>
      </w:r>
    </w:p>
    <w:p w:rsidRPr="005C52B3" w:rsidR="003A50C0" w:rsidP="12B0767F" w:rsidRDefault="003A50C0" w14:paraId="1273B203" w14:textId="0B2677A5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facilities with protocols for confidential documentation and safe storage of survivor information</w:t>
      </w:r>
    </w:p>
    <w:p w:rsidRPr="005C52B3" w:rsidR="003A50C0" w:rsidP="12B0767F" w:rsidRDefault="003A50C0" w14:paraId="7D67A544" w14:textId="26207A64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health facilities providing CCSA with no fee for CCSA and other forms of VAWG</w:t>
      </w:r>
    </w:p>
    <w:p w:rsidRPr="005C52B3" w:rsidR="003A50C0" w:rsidP="12B0767F" w:rsidRDefault="003A50C0" w14:paraId="4B1C720B" w14:textId="6A56944F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health facilities that can provide emergency contraceptive pills, postexposure prophylaxis and sexually transmitted infection (STI) presumptive treatment in a private room</w:t>
      </w:r>
    </w:p>
    <w:p w:rsidRPr="005C52B3" w:rsidR="003A50C0" w:rsidP="12B0767F" w:rsidRDefault="003A50C0" w14:paraId="22283766" w14:textId="5902D8E9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facilities with continuous stock (no stockouts) of CCSA kits, PEP, EC, pregnancy tests, HIV tests, STI drugs</w:t>
      </w:r>
    </w:p>
    <w:p w:rsidRPr="005C52B3" w:rsidR="003A50C0" w:rsidP="12B0767F" w:rsidRDefault="003A50C0" w14:paraId="7B898050" w14:textId="24227A5C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health sites with a standard referral pathway for survivors of VAWG</w:t>
      </w:r>
    </w:p>
    <w:p w:rsidRPr="005C52B3" w:rsidR="003A50C0" w:rsidP="12B0767F" w:rsidRDefault="003A50C0" w14:paraId="3E6A6A24" w14:textId="3078EE48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facilities with clear SOPs on informed consent and assent for minors</w:t>
      </w:r>
    </w:p>
    <w:p w:rsidRPr="005C52B3" w:rsidR="003A50C0" w:rsidP="12B0767F" w:rsidRDefault="003A50C0" w14:paraId="1AAC65BD" w14:textId="106E29B1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reviewed national policies that follow WHO standards for CCSA</w:t>
      </w:r>
    </w:p>
    <w:p w:rsidRPr="005C52B3" w:rsidR="003A50C0" w:rsidP="12B0767F" w:rsidRDefault="003A50C0" w14:paraId="25F5C5DC" w14:textId="06AA2C3A">
      <w:pPr>
        <w:pStyle w:val="ListParagraph"/>
        <w:numPr>
          <w:ilvl w:val="0"/>
          <w:numId w:val="23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24F542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female health workers/ % of female patients able to receive care from female staff</w:t>
      </w:r>
    </w:p>
    <w:p w:rsidRPr="00516E5B" w:rsidR="00516E5B" w:rsidP="005C52B3" w:rsidRDefault="00516E5B" w14:paraId="61A63452" w14:textId="77777777">
      <w:pPr>
        <w:spacing w:after="0" w:line="240" w:lineRule="auto"/>
        <w:rPr>
          <w:rFonts w:ascii="Aptos" w:hAnsi="Aptos" w:cs="Times New Roman"/>
          <w:b/>
          <w:bCs/>
          <w:color w:val="231F20"/>
          <w:kern w:val="0"/>
          <w:u w:val="single"/>
        </w:rPr>
      </w:pPr>
    </w:p>
    <w:p w:rsidRPr="005C52B3" w:rsidR="003A50C0" w:rsidP="005C52B3" w:rsidRDefault="00AB5885" w14:paraId="28C3D26C" w14:textId="1B27D1BE">
      <w:pPr>
        <w:spacing w:after="0" w:line="240" w:lineRule="auto"/>
        <w:rPr>
          <w:rFonts w:ascii="Aptos" w:hAnsi="Aptos" w:cs="Times New Roman"/>
          <w:b/>
          <w:bCs/>
          <w:color w:val="231F20"/>
          <w:kern w:val="0"/>
          <w:u w:val="single"/>
        </w:rPr>
      </w:pPr>
      <w:bookmarkStart w:name="LLH" w:id="8"/>
      <w:r w:rsidRPr="005C52B3">
        <w:rPr>
          <w:rFonts w:ascii="Aptos" w:hAnsi="Aptos" w:cs="Times New Roman"/>
          <w:b/>
          <w:bCs/>
          <w:color w:val="231F20"/>
          <w:kern w:val="0"/>
          <w:u w:val="single"/>
        </w:rPr>
        <w:t>LIVELIHOODS</w:t>
      </w:r>
    </w:p>
    <w:bookmarkEnd w:id="8"/>
    <w:p w:rsidRPr="005C52B3" w:rsidR="003A50C0" w:rsidP="005C52B3" w:rsidRDefault="003A50C0" w14:paraId="79ABA2FF" w14:textId="6C2F3968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i/>
          <w:iCs/>
          <w:color w:val="231F20"/>
          <w:kern w:val="0"/>
        </w:rPr>
      </w:pPr>
    </w:p>
    <w:p w:rsidRPr="002B3A44" w:rsidR="003A50C0" w:rsidP="002B3A44" w:rsidRDefault="003A50C0" w14:paraId="69F51F39" w14:textId="7EE005D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Was the market analysis developed with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 xml:space="preserve">input from those at risk of </w:t>
      </w:r>
      <w:r w:rsidRPr="002B3A44" w:rsidR="00516E5B">
        <w:rPr>
          <w:rFonts w:ascii="Aptos" w:hAnsi="Aptos" w:cs="Times New Roman"/>
          <w:color w:val="231F20"/>
          <w:kern w:val="0"/>
        </w:rPr>
        <w:t>VAWG</w:t>
      </w:r>
      <w:r w:rsidRPr="002B3A44">
        <w:rPr>
          <w:rFonts w:ascii="Aptos" w:hAnsi="Aptos" w:cs="Times New Roman"/>
          <w:color w:val="231F20"/>
          <w:kern w:val="0"/>
        </w:rPr>
        <w:t xml:space="preserve">? 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(Y/N) </w:t>
      </w:r>
      <w:r w:rsidRPr="002B3A44">
        <w:rPr>
          <w:rFonts w:ascii="Aptos" w:hAnsi="Aptos" w:cs="Times New Roman"/>
          <w:color w:val="231F20"/>
          <w:kern w:val="0"/>
        </w:rPr>
        <w:t>Does the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market analysis include relevant safety and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gender considerations?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(Y/N or scale)</w:t>
      </w:r>
    </w:p>
    <w:p w:rsidRPr="002B3A44" w:rsidR="003A50C0" w:rsidP="002B3A44" w:rsidRDefault="00516E5B" w14:paraId="29F74C5A" w14:textId="2F41101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%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of affected </w:t>
      </w:r>
      <w:r w:rsidRPr="002B3A44">
        <w:rPr>
          <w:rFonts w:ascii="Aptos" w:hAnsi="Aptos" w:cs="Times New Roman"/>
          <w:color w:val="231F20"/>
          <w:kern w:val="0"/>
        </w:rPr>
        <w:t>females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who report concerns</w:t>
      </w:r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about experiencing </w:t>
      </w:r>
      <w:r w:rsidRPr="002B3A44">
        <w:rPr>
          <w:rFonts w:ascii="Aptos" w:hAnsi="Aptos" w:cs="Times New Roman"/>
          <w:color w:val="231F20"/>
          <w:kern w:val="0"/>
        </w:rPr>
        <w:t>VAWG in/near/around or while participating in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livelihoods programs</w:t>
      </w:r>
      <w:r w:rsidRPr="002B3A44">
        <w:rPr>
          <w:rFonts w:ascii="Aptos" w:hAnsi="Aptos" w:cs="Times New Roman"/>
          <w:color w:val="231F20"/>
          <w:kern w:val="0"/>
        </w:rPr>
        <w:t>, disaggregated by age, disability and other forms of vulnerability</w:t>
      </w:r>
    </w:p>
    <w:p w:rsidRPr="002B3A44" w:rsidR="003A50C0" w:rsidP="002B3A44" w:rsidRDefault="003A50C0" w14:paraId="2CFBE376" w14:textId="6E1C626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Income support for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affected populatio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n: </w:t>
      </w:r>
      <w:r w:rsidRPr="002B3A44">
        <w:rPr>
          <w:rFonts w:ascii="Aptos" w:hAnsi="Aptos" w:cs="Times New Roman"/>
          <w:color w:val="231F20"/>
          <w:kern w:val="0"/>
        </w:rPr>
        <w:t>Disaggregate by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age, male- and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female-headed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household</w:t>
      </w:r>
    </w:p>
    <w:p w:rsidRPr="002B3A44" w:rsidR="003A50C0" w:rsidP="002B3A44" w:rsidRDefault="00516E5B" w14:paraId="4510EB5F" w14:textId="1A9D891A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%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of households in need of income support</w:t>
      </w:r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who are participating in a livelihoods</w:t>
      </w:r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progra</w:t>
      </w:r>
      <w:r w:rsidRPr="002B3A44">
        <w:rPr>
          <w:rFonts w:ascii="Aptos" w:hAnsi="Aptos" w:cs="Times New Roman"/>
          <w:color w:val="231F20"/>
          <w:kern w:val="0"/>
        </w:rPr>
        <w:t>m</w:t>
      </w:r>
    </w:p>
    <w:p w:rsidRPr="002B3A44" w:rsidR="003A50C0" w:rsidP="002B3A44" w:rsidRDefault="003A50C0" w14:paraId="6C090BFA" w14:textId="0DF6EBB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Change in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net income of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livelihoods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recipients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: </w:t>
      </w:r>
      <w:r w:rsidRPr="002B3A44">
        <w:rPr>
          <w:rFonts w:ascii="Aptos" w:hAnsi="Aptos" w:cs="Times New Roman"/>
          <w:color w:val="231F20"/>
          <w:kern w:val="0"/>
        </w:rPr>
        <w:t>Disaggregate by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sex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(endline income of livelihoods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recipients – baseline income of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livelihoods recipients)</w:t>
      </w:r>
    </w:p>
    <w:p w:rsidRPr="002B3A44" w:rsidR="003A50C0" w:rsidP="005C52B3" w:rsidRDefault="003A50C0" w14:paraId="505B32B3" w14:textId="77777777">
      <w:pPr>
        <w:spacing w:after="0" w:line="240" w:lineRule="auto"/>
        <w:rPr>
          <w:rFonts w:ascii="Aptos" w:hAnsi="Aptos" w:cs="Times New Roman"/>
          <w:color w:val="231F20"/>
          <w:kern w:val="0"/>
        </w:rPr>
      </w:pPr>
    </w:p>
    <w:p w:rsidRPr="005C52B3" w:rsidR="00AB5885" w:rsidP="005C52B3" w:rsidRDefault="00AB5885" w14:paraId="14F0491C" w14:textId="77777777">
      <w:pPr>
        <w:spacing w:after="0" w:line="240" w:lineRule="auto"/>
        <w:rPr>
          <w:rFonts w:ascii="Aptos" w:hAnsi="Aptos" w:cs="Times New Roman"/>
          <w:i/>
          <w:iCs/>
          <w:color w:val="231F20"/>
          <w:kern w:val="0"/>
        </w:rPr>
      </w:pPr>
      <w:bookmarkStart w:name="NUT" w:id="9"/>
      <w:r w:rsidRPr="005C52B3">
        <w:rPr>
          <w:rFonts w:ascii="Aptos" w:hAnsi="Aptos" w:cs="Times New Roman"/>
          <w:b/>
          <w:bCs/>
          <w:color w:val="231F20"/>
          <w:kern w:val="0"/>
          <w:u w:val="single"/>
        </w:rPr>
        <w:t>NUTRITION</w:t>
      </w:r>
      <w:bookmarkEnd w:id="9"/>
      <w:r w:rsidRPr="005C52B3" w:rsidR="003A50C0">
        <w:rPr>
          <w:rFonts w:ascii="Aptos" w:hAnsi="Aptos" w:cs="Times New Roman"/>
          <w:i/>
          <w:iCs/>
          <w:color w:val="231F20"/>
          <w:kern w:val="0"/>
        </w:rPr>
        <w:t xml:space="preserve"> </w:t>
      </w:r>
    </w:p>
    <w:p w:rsidRPr="005C52B3" w:rsidR="003A50C0" w:rsidP="12B0767F" w:rsidRDefault="00702868" w14:paraId="18FC6DC9" w14:textId="3B1B06D3">
      <w:pPr>
        <w:pStyle w:val="Normal"/>
        <w:spacing w:after="0" w:line="240" w:lineRule="auto"/>
        <w:rPr>
          <w:rFonts w:ascii="Aptos" w:hAnsi="Aptos" w:cs="Times New Roman"/>
          <w:i w:val="1"/>
          <w:iCs w:val="1"/>
          <w:color w:val="231F20"/>
          <w:kern w:val="0"/>
        </w:rPr>
      </w:pPr>
      <w:r w:rsidRPr="12B0767F" w:rsidR="00702868">
        <w:rPr>
          <w:rFonts w:ascii="Aptos" w:hAnsi="Aptos" w:cs="Times New Roman"/>
          <w:i w:val="1"/>
          <w:iCs w:val="1"/>
          <w:color w:val="231F20"/>
          <w:kern w:val="0"/>
        </w:rPr>
        <w:t xml:space="preserve">Note: UNICEF has created an in-depth monitoring tool for </w:t>
      </w:r>
      <w:r>
        <w:fldChar w:fldCharType="begin"/>
      </w:r>
      <w:r>
        <w:instrText xml:space="preserve">HYPERLINK "https://gbvguidelines.org/wp/wp-content/uploads/2022/09/Menu-of-Measures_final_color.pdf"</w:instrText>
      </w:r>
      <w:r>
        <w:fldChar w:fldCharType="separate"/>
      </w:r>
      <w:r w:rsidRPr="12B0767F" w:rsidR="5E14A58C">
        <w:rPr>
          <w:rStyle w:val="Hyperlink"/>
          <w:rFonts w:ascii="Aptos" w:hAnsi="Aptos" w:cs="Times New Roman"/>
          <w:i w:val="1"/>
          <w:iCs w:val="1"/>
          <w:kern w:val="0"/>
        </w:rPr>
        <w:t>GBV</w:t>
      </w:r>
      <w:r w:rsidRPr="12B0767F" w:rsidR="00702868">
        <w:rPr>
          <w:rStyle w:val="Hyperlink"/>
          <w:rFonts w:ascii="Aptos" w:hAnsi="Aptos" w:cs="Times New Roman"/>
          <w:i w:val="1"/>
          <w:iCs w:val="1"/>
          <w:kern w:val="0"/>
        </w:rPr>
        <w:t xml:space="preserve"> risk mitigation in Nutrition programming</w:t>
      </w:r>
      <w:r w:rsidRPr="12B0767F" w:rsidR="5118CC9E">
        <w:rPr>
          <w:rStyle w:val="Hyperlink"/>
          <w:rFonts w:ascii="Aptos" w:hAnsi="Aptos" w:cs="Times New Roman"/>
          <w:i w:val="1"/>
          <w:iCs w:val="1"/>
          <w:kern w:val="0"/>
        </w:rPr>
        <w:t>.</w:t>
      </w:r>
      <w:r>
        <w:fldChar w:fldCharType="end"/>
      </w:r>
      <w:r w:rsidRPr="12B0767F" w:rsidR="5118CC9E">
        <w:rPr>
          <w:rFonts w:ascii="Aptos" w:hAnsi="Aptos" w:cs="Times New Roman"/>
          <w:i w:val="1"/>
          <w:iCs w:val="1"/>
          <w:color w:val="231F20"/>
        </w:rPr>
        <w:t xml:space="preserve"> It is recommended to review this tool in addition to the below.</w:t>
      </w:r>
    </w:p>
    <w:p w:rsidR="00516E5B" w:rsidP="005C52B3" w:rsidRDefault="00516E5B" w14:paraId="065D2546" w14:textId="7777777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i/>
          <w:iCs/>
          <w:color w:val="231F20"/>
          <w:kern w:val="0"/>
        </w:rPr>
      </w:pPr>
    </w:p>
    <w:p w:rsidRPr="002B3A44" w:rsidR="003A50C0" w:rsidP="002B3A44" w:rsidRDefault="003A50C0" w14:paraId="488E11F4" w14:textId="0EBCCA23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Ratio of affected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females to males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aged 6–59 months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with global acute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malnutrition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: </w:t>
      </w:r>
      <w:r w:rsidRPr="002B3A44">
        <w:rPr>
          <w:rFonts w:ascii="Aptos" w:hAnsi="Aptos" w:cs="Times New Roman"/>
          <w:color w:val="231F20"/>
          <w:kern w:val="0"/>
        </w:rPr>
        <w:t># of affected females aged 6–59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with global acute malnutrition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/ </w:t>
      </w:r>
      <w:r w:rsidRPr="002B3A44">
        <w:rPr>
          <w:rFonts w:ascii="Aptos" w:hAnsi="Aptos" w:cs="Times New Roman"/>
          <w:color w:val="231F20"/>
          <w:kern w:val="0"/>
        </w:rPr>
        <w:t># of affected males aged 6–59</w:t>
      </w:r>
      <w:r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with global acute malnutrition</w:t>
      </w:r>
    </w:p>
    <w:p w:rsidRPr="002B3A44" w:rsidR="003A50C0" w:rsidP="002B3A44" w:rsidRDefault="003A50C0" w14:paraId="208C27CA" w14:textId="6113E3A5" w14:noSpellErr="1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 w:rsidR="003A50C0">
        <w:rPr>
          <w:rFonts w:ascii="Aptos" w:hAnsi="Aptos" w:cs="Times New Roman"/>
          <w:color w:val="231F20"/>
          <w:kern w:val="0"/>
        </w:rPr>
        <w:lastRenderedPageBreak/>
        <w:t>Coverage of nutrition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programs for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persons at risk of </w:t>
      </w:r>
      <w:r w:rsidRPr="002B3A44" w:rsidR="00516E5B">
        <w:rPr>
          <w:rFonts w:ascii="Aptos" w:hAnsi="Aptos" w:cs="Times New Roman"/>
          <w:color w:val="231F20"/>
          <w:kern w:val="0"/>
        </w:rPr>
        <w:t>VAWG: %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of persons at risk of </w:t>
      </w:r>
      <w:r w:rsidRPr="002B3A44" w:rsidR="00516E5B">
        <w:rPr>
          <w:rFonts w:ascii="Aptos" w:hAnsi="Aptos" w:cs="Times New Roman"/>
          <w:color w:val="231F20"/>
          <w:kern w:val="0"/>
        </w:rPr>
        <w:t>VAWG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in need of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nutrition services and who received</w:t>
      </w:r>
      <w:r w:rsidRPr="002B3A44" w:rsidR="00516E5B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nutrition services</w:t>
      </w:r>
      <w:r w:rsidR="002B3A44">
        <w:rPr>
          <w:rFonts w:ascii="Aptos" w:hAnsi="Aptos" w:cs="Times New Roman"/>
          <w:color w:val="231F20"/>
          <w:kern w:val="0"/>
        </w:rPr>
        <w:t>, disaggregated by gender, age and other forms of vulnerability</w:t>
      </w:r>
    </w:p>
    <w:p w:rsidR="251E5113" w:rsidP="2CC9558C" w:rsidRDefault="251E5113" w14:paraId="622AF5B7" w14:textId="115031A1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</w:pPr>
      <w:r w:rsidRPr="2CC9558C" w:rsidR="251E5113"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  <w:t># or % of Nutrition sites that have undergone a safety audit; % of audit recommendations acted upon</w:t>
      </w:r>
    </w:p>
    <w:p w:rsidR="532AD619" w:rsidP="2CC9558C" w:rsidRDefault="532AD619" w14:paraId="20FD8E6C" w14:textId="59AA4041">
      <w:pPr>
        <w:pStyle w:val="ListParagraph"/>
        <w:numPr>
          <w:ilvl w:val="0"/>
          <w:numId w:val="19"/>
        </w:numPr>
        <w:spacing w:after="0" w:line="240" w:lineRule="auto"/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</w:pPr>
      <w:r w:rsidRPr="2CC9558C" w:rsidR="532AD619"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  <w:t># or % of nutrition sector assessments and monitoring that included VAWG risk analysis.</w:t>
      </w:r>
    </w:p>
    <w:p w:rsidR="532AD619" w:rsidP="2CC9558C" w:rsidRDefault="532AD619" w14:paraId="41493D02" w14:textId="09B7666A">
      <w:pPr>
        <w:pStyle w:val="ListParagraph"/>
        <w:numPr>
          <w:ilvl w:val="0"/>
          <w:numId w:val="19"/>
        </w:num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</w:pPr>
      <w:r w:rsidRPr="2CC9558C" w:rsidR="532AD619"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  <w:t xml:space="preserve"># or % of people (disaggregated by sex and age) reached with key messages on the importance of </w:t>
      </w:r>
      <w:r w:rsidRPr="2CC9558C" w:rsidR="532AD619"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  <w:t>equitable</w:t>
      </w:r>
      <w:r w:rsidRPr="2CC9558C" w:rsidR="532AD619"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  <w:t xml:space="preserve"> nutrition.</w:t>
      </w:r>
    </w:p>
    <w:p w:rsidR="00516E5B" w:rsidP="005C52B3" w:rsidRDefault="00516E5B" w14:paraId="04A636AD" w14:textId="7777777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  <w:color w:val="231F20"/>
          <w:kern w:val="0"/>
          <w:u w:val="single"/>
        </w:rPr>
      </w:pPr>
    </w:p>
    <w:p w:rsidRPr="005C52B3" w:rsidR="003A50C0" w:rsidP="005C52B3" w:rsidRDefault="00702868" w14:paraId="0BFFD061" w14:textId="68AC7C79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/>
          <w:bCs/>
          <w:color w:val="231F20"/>
          <w:kern w:val="0"/>
          <w:u w:val="single"/>
        </w:rPr>
      </w:pPr>
      <w:r>
        <w:rPr>
          <w:rFonts w:ascii="Aptos" w:hAnsi="Aptos" w:cs="Times New Roman"/>
          <w:b/>
          <w:bCs/>
          <w:color w:val="231F20"/>
          <w:kern w:val="0"/>
          <w:u w:val="single"/>
        </w:rPr>
        <w:t>P</w:t>
      </w:r>
      <w:bookmarkStart w:name="PXN" w:id="10"/>
      <w:bookmarkEnd w:id="10"/>
      <w:r>
        <w:rPr>
          <w:rFonts w:ascii="Aptos" w:hAnsi="Aptos" w:cs="Times New Roman"/>
          <w:b/>
          <w:bCs/>
          <w:color w:val="231F20"/>
          <w:kern w:val="0"/>
          <w:u w:val="single"/>
        </w:rPr>
        <w:t>ROTECTION</w:t>
      </w:r>
    </w:p>
    <w:p w:rsidRPr="002B3A44" w:rsidR="003A50C0" w:rsidP="005C52B3" w:rsidRDefault="003A50C0" w14:paraId="79E8FCEC" w14:textId="7777777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</w:p>
    <w:p w:rsidR="7C219C5D" w:rsidP="12B0767F" w:rsidRDefault="7C219C5D" w14:paraId="50D7ABA0" w14:textId="0FEFC7A3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Existence of standard operating procedures (SOPs) for security sector to assist survivors of VAWG (Y/N)</w:t>
      </w:r>
    </w:p>
    <w:p w:rsidR="7C219C5D" w:rsidP="12B0767F" w:rsidRDefault="7C219C5D" w14:paraId="6D489621" w14:textId="00389BE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Existence of SOPs between protection case management and GBV case management on referrals and service provision for survivors (Y/N)</w:t>
      </w:r>
    </w:p>
    <w:p w:rsidR="7C219C5D" w:rsidP="12B0767F" w:rsidRDefault="7C219C5D" w14:paraId="0EA987BA" w14:textId="31C03E37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or % of sites with SOPs for security personnel to assist survivors of VAWG</w:t>
      </w:r>
    </w:p>
    <w:p w:rsidR="7C219C5D" w:rsidP="12B0767F" w:rsidRDefault="7C219C5D" w14:paraId="1C4A54AE" w14:textId="39F633A9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Participation of at least one VAWG specialist on protection monitoring team (Y/N)</w:t>
      </w:r>
    </w:p>
    <w:p w:rsidR="7C219C5D" w:rsidP="12B0767F" w:rsidRDefault="7C219C5D" w14:paraId="674FDA4D" w14:textId="010206B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of protection monitoring teams with at least one VAWG specialist</w:t>
      </w:r>
    </w:p>
    <w:p w:rsidR="7C219C5D" w:rsidP="12B0767F" w:rsidRDefault="7C219C5D" w14:paraId="00684220" w14:textId="0CDACE34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Inclusion of VAWG as a risk factor for vulnerability in profiling, documentation or registration processes: # of registration sites that include VAWG as a risk factor for vulnerability</w:t>
      </w:r>
    </w:p>
    <w:p w:rsidR="7C219C5D" w:rsidP="12B0767F" w:rsidRDefault="7C219C5D" w14:paraId="78D419C7" w14:textId="2AD5B65D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security staff who participated in a training on how to respond to incidents of VAWG according to established protocols</w:t>
      </w:r>
    </w:p>
    <w:p w:rsidR="7C219C5D" w:rsidP="12B0767F" w:rsidRDefault="7C219C5D" w14:paraId="3EDE4F4B" w14:textId="0F30CD1C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or % of female security personnel present in a specified location</w:t>
      </w:r>
    </w:p>
    <w:p w:rsidR="7C219C5D" w:rsidP="12B0767F" w:rsidRDefault="7C219C5D" w14:paraId="0A19C87F" w14:textId="6861F20A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# of legal aid organizations providing free legal assistance services for survivors of VAWG in a specified location</w:t>
      </w:r>
    </w:p>
    <w:p w:rsidR="7C219C5D" w:rsidP="12B0767F" w:rsidRDefault="7C219C5D" w14:paraId="087BAF06" w14:textId="57EAE680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% of those seeking legal aid for GBV-related issues who obtain a satisfactory solution/are satisfied with services received.</w:t>
      </w:r>
    </w:p>
    <w:p w:rsidR="7C219C5D" w:rsidP="12B0767F" w:rsidRDefault="7C219C5D" w14:paraId="4356CB2C" w14:textId="7918A0EE">
      <w:pPr>
        <w:pStyle w:val="ListParagraph"/>
        <w:numPr>
          <w:ilvl w:val="0"/>
          <w:numId w:val="20"/>
        </w:num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</w:pPr>
      <w:r w:rsidRPr="12B0767F" w:rsidR="7C219C5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31F20"/>
          <w:sz w:val="24"/>
          <w:szCs w:val="24"/>
          <w:lang w:val="en-US"/>
        </w:rPr>
        <w:t>Existence of laws (national or local) associated with judicial processes for GBV prevention and response: (Y/N or #)</w:t>
      </w:r>
    </w:p>
    <w:p w:rsidRPr="002B3A44" w:rsidR="002B3A44" w:rsidP="002B3A44" w:rsidRDefault="002B3A44" w14:paraId="1366B145" w14:textId="77777777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</w:p>
    <w:p w:rsidR="003A50C0" w:rsidP="005C52B3" w:rsidRDefault="00AB5885" w14:paraId="2C997D4E" w14:textId="68006994">
      <w:pPr>
        <w:spacing w:after="0" w:line="240" w:lineRule="auto"/>
        <w:rPr>
          <w:rFonts w:ascii="Aptos" w:hAnsi="Aptos" w:cs="Times New Roman"/>
          <w:b/>
          <w:bCs/>
          <w:color w:val="231F20"/>
          <w:kern w:val="0"/>
          <w:u w:val="single"/>
        </w:rPr>
      </w:pPr>
      <w:bookmarkStart w:name="SSR" w:id="11"/>
      <w:r w:rsidRPr="005C52B3">
        <w:rPr>
          <w:rFonts w:ascii="Aptos" w:hAnsi="Aptos" w:cs="Times New Roman"/>
          <w:b/>
          <w:bCs/>
          <w:color w:val="231F20"/>
          <w:kern w:val="0"/>
          <w:u w:val="single"/>
        </w:rPr>
        <w:t>SHELTER</w:t>
      </w:r>
    </w:p>
    <w:bookmarkEnd w:id="11"/>
    <w:p w:rsidRPr="005C52B3" w:rsidR="002B3A44" w:rsidP="005C52B3" w:rsidRDefault="002B3A44" w14:paraId="0B5F396F" w14:textId="77777777">
      <w:pPr>
        <w:spacing w:after="0" w:line="240" w:lineRule="auto"/>
        <w:rPr>
          <w:rFonts w:ascii="Aptos" w:hAnsi="Aptos" w:cs="Times New Roman"/>
          <w:b/>
          <w:bCs/>
          <w:color w:val="231F20"/>
          <w:kern w:val="0"/>
          <w:u w:val="single"/>
        </w:rPr>
      </w:pPr>
    </w:p>
    <w:p w:rsidRPr="00702868" w:rsidR="003A50C0" w:rsidP="00702868" w:rsidRDefault="003A50C0" w14:paraId="621A31FE" w14:textId="22FF1CC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Stock availability of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pre-positioned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supplies for mitigation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of risks of VAWG</w:t>
      </w:r>
      <w:r w:rsidR="00702868">
        <w:rPr>
          <w:rFonts w:ascii="Aptos" w:hAnsi="Aptos" w:cs="Times New Roman"/>
          <w:color w:val="231F20"/>
          <w:kern w:val="0"/>
        </w:rPr>
        <w:t xml:space="preserve">: </w:t>
      </w:r>
      <w:r w:rsidRPr="00702868" w:rsidR="002B3A44">
        <w:rPr>
          <w:rFonts w:ascii="Aptos" w:hAnsi="Aptos" w:cs="Times New Roman"/>
          <w:color w:val="231F20"/>
          <w:kern w:val="0"/>
        </w:rPr>
        <w:t>%</w:t>
      </w:r>
      <w:r w:rsidRPr="00702868">
        <w:rPr>
          <w:rFonts w:ascii="Aptos" w:hAnsi="Aptos" w:cs="Times New Roman"/>
          <w:color w:val="231F20"/>
          <w:kern w:val="0"/>
        </w:rPr>
        <w:t xml:space="preserve"> of </w:t>
      </w:r>
      <w:r w:rsidRPr="00702868" w:rsidR="002B3A44">
        <w:rPr>
          <w:rFonts w:ascii="Aptos" w:hAnsi="Aptos" w:cs="Times New Roman"/>
          <w:color w:val="231F20"/>
          <w:kern w:val="0"/>
        </w:rPr>
        <w:t>VAWG</w:t>
      </w:r>
      <w:r w:rsidRPr="00702868">
        <w:rPr>
          <w:rFonts w:ascii="Aptos" w:hAnsi="Aptos" w:cs="Times New Roman"/>
          <w:color w:val="231F20"/>
          <w:kern w:val="0"/>
        </w:rPr>
        <w:t xml:space="preserve"> risk</w:t>
      </w:r>
      <w:r w:rsidRPr="00702868" w:rsidR="002B3A44">
        <w:rPr>
          <w:rFonts w:ascii="Aptos" w:hAnsi="Aptos" w:cs="Times New Roman"/>
          <w:color w:val="231F20"/>
          <w:kern w:val="0"/>
        </w:rPr>
        <w:t xml:space="preserve"> mitigation</w:t>
      </w:r>
      <w:r w:rsidRPr="00702868">
        <w:rPr>
          <w:rFonts w:ascii="Aptos" w:hAnsi="Aptos" w:cs="Times New Roman"/>
          <w:color w:val="231F20"/>
          <w:kern w:val="0"/>
        </w:rPr>
        <w:t xml:space="preserve"> supplies </w:t>
      </w:r>
      <w:r w:rsidRPr="00702868" w:rsidR="002B3A44">
        <w:rPr>
          <w:rFonts w:ascii="Aptos" w:hAnsi="Aptos" w:cs="Times New Roman"/>
          <w:color w:val="231F20"/>
          <w:kern w:val="0"/>
        </w:rPr>
        <w:t xml:space="preserve">(partitions, privacy screens, locks, safety-related NFIs, etc.) </w:t>
      </w:r>
      <w:r w:rsidRPr="00702868">
        <w:rPr>
          <w:rFonts w:ascii="Aptos" w:hAnsi="Aptos" w:cs="Times New Roman"/>
          <w:color w:val="231F20"/>
          <w:kern w:val="0"/>
        </w:rPr>
        <w:t>that have</w:t>
      </w:r>
      <w:r w:rsidRPr="00702868" w:rsidR="002B3A44">
        <w:rPr>
          <w:rFonts w:ascii="Aptos" w:hAnsi="Aptos" w:cs="Times New Roman"/>
          <w:color w:val="231F20"/>
          <w:kern w:val="0"/>
        </w:rPr>
        <w:t xml:space="preserve"> </w:t>
      </w:r>
      <w:r w:rsidRPr="00702868">
        <w:rPr>
          <w:rFonts w:ascii="Aptos" w:hAnsi="Aptos" w:cs="Times New Roman"/>
          <w:color w:val="231F20"/>
          <w:kern w:val="0"/>
        </w:rPr>
        <w:t>stock levels below minimum levels</w:t>
      </w:r>
    </w:p>
    <w:p w:rsidRPr="002B3A44" w:rsidR="003A50C0" w:rsidP="002B3A44" w:rsidRDefault="003A50C0" w14:paraId="674DD99B" w14:textId="279C843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Risk factors of GBV in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and around shelters</w:t>
      </w:r>
      <w:r w:rsidRPr="002B3A44" w:rsidR="002B3A44">
        <w:rPr>
          <w:rFonts w:ascii="Aptos" w:hAnsi="Aptos" w:cs="Times New Roman"/>
          <w:color w:val="231F20"/>
          <w:kern w:val="0"/>
        </w:rPr>
        <w:t>: %</w:t>
      </w:r>
      <w:r w:rsidRPr="002B3A44">
        <w:rPr>
          <w:rFonts w:ascii="Aptos" w:hAnsi="Aptos" w:cs="Times New Roman"/>
          <w:color w:val="231F20"/>
          <w:kern w:val="0"/>
        </w:rPr>
        <w:t xml:space="preserve"> of affected </w:t>
      </w:r>
      <w:r w:rsidRPr="002B3A44" w:rsidR="002B3A44">
        <w:rPr>
          <w:rFonts w:ascii="Aptos" w:hAnsi="Aptos" w:cs="Times New Roman"/>
          <w:color w:val="231F20"/>
          <w:kern w:val="0"/>
        </w:rPr>
        <w:t>females</w:t>
      </w:r>
      <w:r w:rsidRPr="002B3A44">
        <w:rPr>
          <w:rFonts w:ascii="Aptos" w:hAnsi="Aptos" w:cs="Times New Roman"/>
          <w:color w:val="231F20"/>
          <w:kern w:val="0"/>
        </w:rPr>
        <w:t xml:space="preserve"> who report concerns</w:t>
      </w:r>
      <w:r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 xml:space="preserve">about experiencing </w:t>
      </w:r>
      <w:r w:rsidRPr="002B3A44" w:rsidR="002B3A44">
        <w:rPr>
          <w:rFonts w:ascii="Aptos" w:hAnsi="Aptos" w:cs="Times New Roman"/>
          <w:color w:val="231F20"/>
          <w:kern w:val="0"/>
        </w:rPr>
        <w:t>VAWG</w:t>
      </w:r>
      <w:r w:rsidRPr="002B3A44">
        <w:rPr>
          <w:rFonts w:ascii="Aptos" w:hAnsi="Aptos" w:cs="Times New Roman"/>
          <w:color w:val="231F20"/>
          <w:kern w:val="0"/>
        </w:rPr>
        <w:t xml:space="preserve"> when asked about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areas in and around shelters</w:t>
      </w:r>
    </w:p>
    <w:p w:rsidRPr="002B3A44" w:rsidR="002B3A44" w:rsidP="002B3A44" w:rsidRDefault="003A50C0" w14:paraId="430461F4" w14:textId="0949050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Coverage of non-food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items (NFIs)</w:t>
      </w:r>
      <w:r w:rsidRPr="002B3A44" w:rsidR="002B3A44">
        <w:rPr>
          <w:rFonts w:ascii="Aptos" w:hAnsi="Aptos" w:cs="Times New Roman"/>
          <w:color w:val="231F20"/>
          <w:kern w:val="0"/>
        </w:rPr>
        <w:t>: %</w:t>
      </w:r>
      <w:r w:rsidRPr="002B3A44">
        <w:rPr>
          <w:rFonts w:ascii="Aptos" w:hAnsi="Aptos" w:cs="Times New Roman"/>
          <w:color w:val="231F20"/>
          <w:kern w:val="0"/>
        </w:rPr>
        <w:t xml:space="preserve"> of households in need of NFIs*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that</w:t>
      </w:r>
      <w:r w:rsidRPr="002B3A44">
        <w:rPr>
          <w:rFonts w:ascii="Aptos" w:hAnsi="Aptos" w:cs="Times New Roman"/>
          <w:color w:val="231F20"/>
          <w:kern w:val="0"/>
        </w:rPr>
        <w:t xml:space="preserve"> received NFIs</w:t>
      </w:r>
      <w:r w:rsidRPr="002B3A44" w:rsidR="002B3A44">
        <w:rPr>
          <w:rFonts w:ascii="Aptos" w:hAnsi="Aptos" w:cs="Times New Roman"/>
          <w:color w:val="231F20"/>
          <w:kern w:val="0"/>
        </w:rPr>
        <w:t>, d</w:t>
      </w:r>
      <w:r w:rsidRPr="002B3A44" w:rsidR="002B3A44">
        <w:rPr>
          <w:rFonts w:ascii="Aptos" w:hAnsi="Aptos" w:cs="Times New Roman"/>
          <w:color w:val="231F20"/>
          <w:kern w:val="0"/>
        </w:rPr>
        <w:t>isaggregate</w:t>
      </w:r>
      <w:r w:rsidRPr="002B3A44" w:rsidR="002B3A44">
        <w:rPr>
          <w:rFonts w:ascii="Aptos" w:hAnsi="Aptos" w:cs="Times New Roman"/>
          <w:color w:val="231F20"/>
          <w:kern w:val="0"/>
        </w:rPr>
        <w:t>d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by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2B3A44">
        <w:rPr>
          <w:rFonts w:ascii="Aptos" w:hAnsi="Aptos" w:cs="Times New Roman"/>
          <w:color w:val="231F20"/>
          <w:kern w:val="0"/>
        </w:rPr>
        <w:t>male- and female</w:t>
      </w:r>
      <w:r w:rsidRPr="002B3A44" w:rsidR="002B3A44">
        <w:rPr>
          <w:rFonts w:ascii="Aptos" w:hAnsi="Aptos" w:cs="Times New Roman"/>
          <w:color w:val="231F20"/>
          <w:kern w:val="0"/>
        </w:rPr>
        <w:t>-</w:t>
      </w:r>
      <w:r w:rsidRPr="002B3A44" w:rsidR="002B3A44">
        <w:rPr>
          <w:rFonts w:ascii="Aptos" w:hAnsi="Aptos" w:cs="Times New Roman"/>
          <w:color w:val="231F20"/>
          <w:kern w:val="0"/>
        </w:rPr>
        <w:t>heade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d </w:t>
      </w:r>
      <w:r w:rsidRPr="002B3A44" w:rsidR="002B3A44">
        <w:rPr>
          <w:rFonts w:ascii="Aptos" w:hAnsi="Aptos" w:cs="Times New Roman"/>
          <w:color w:val="231F20"/>
          <w:kern w:val="0"/>
        </w:rPr>
        <w:t>household</w:t>
      </w:r>
    </w:p>
    <w:p w:rsidRPr="002B3A44" w:rsidR="003A50C0" w:rsidP="002B3A44" w:rsidRDefault="003A50C0" w14:paraId="381D1E84" w14:textId="426AF58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Knowledge of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distribution location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 xml:space="preserve">and time for 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Shelter and related </w:t>
      </w:r>
      <w:r w:rsidRPr="002B3A44">
        <w:rPr>
          <w:rFonts w:ascii="Aptos" w:hAnsi="Aptos" w:cs="Times New Roman"/>
          <w:color w:val="231F20"/>
          <w:kern w:val="0"/>
        </w:rPr>
        <w:t>materials</w:t>
      </w:r>
      <w:r w:rsidRPr="002B3A44" w:rsidR="002B3A44">
        <w:rPr>
          <w:rFonts w:ascii="Aptos" w:hAnsi="Aptos" w:cs="Times New Roman"/>
          <w:color w:val="231F20"/>
          <w:kern w:val="0"/>
        </w:rPr>
        <w:t>: %</w:t>
      </w:r>
      <w:r w:rsidRPr="002B3A44">
        <w:rPr>
          <w:rFonts w:ascii="Aptos" w:hAnsi="Aptos" w:cs="Times New Roman"/>
          <w:color w:val="231F20"/>
          <w:kern w:val="0"/>
        </w:rPr>
        <w:t xml:space="preserve"> of heads of households who, in response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to a prompted question, correctly say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 xml:space="preserve">the time and location of the next 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Shelter-related </w:t>
      </w:r>
      <w:r w:rsidRPr="002B3A44">
        <w:rPr>
          <w:rFonts w:ascii="Aptos" w:hAnsi="Aptos" w:cs="Times New Roman"/>
          <w:color w:val="231F20"/>
          <w:kern w:val="0"/>
        </w:rPr>
        <w:t>materials distribution</w:t>
      </w:r>
      <w:r w:rsidRPr="002B3A44" w:rsidR="002B3A44">
        <w:rPr>
          <w:rFonts w:ascii="Aptos" w:hAnsi="Aptos" w:cs="Times New Roman"/>
          <w:color w:val="231F20"/>
          <w:kern w:val="0"/>
        </w:rPr>
        <w:t>, disaggregated by gender and/or male- and female-headed household</w:t>
      </w:r>
    </w:p>
    <w:p w:rsidRPr="002B3A44" w:rsidR="003A50C0" w:rsidP="002B3A44" w:rsidRDefault="003A50C0" w14:paraId="19DBB750" w14:textId="5AD26703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Risk factors of GBV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in collecting cooking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fuel/firewood</w:t>
      </w:r>
      <w:r w:rsidRPr="002B3A44" w:rsidR="002B3A44">
        <w:rPr>
          <w:rFonts w:ascii="Aptos" w:hAnsi="Aptos" w:cs="Times New Roman"/>
          <w:color w:val="231F20"/>
          <w:kern w:val="0"/>
        </w:rPr>
        <w:t>:  %</w:t>
      </w:r>
      <w:r w:rsidRPr="002B3A44">
        <w:rPr>
          <w:rFonts w:ascii="Aptos" w:hAnsi="Aptos" w:cs="Times New Roman"/>
          <w:color w:val="231F20"/>
          <w:kern w:val="0"/>
        </w:rPr>
        <w:t xml:space="preserve"> of affected </w:t>
      </w:r>
      <w:r w:rsidRPr="002B3A44" w:rsidR="002B3A44">
        <w:rPr>
          <w:rFonts w:ascii="Aptos" w:hAnsi="Aptos" w:cs="Times New Roman"/>
          <w:color w:val="231F20"/>
          <w:kern w:val="0"/>
        </w:rPr>
        <w:t>females</w:t>
      </w:r>
      <w:r w:rsidRPr="002B3A44">
        <w:rPr>
          <w:rFonts w:ascii="Aptos" w:hAnsi="Aptos" w:cs="Times New Roman"/>
          <w:color w:val="231F20"/>
          <w:kern w:val="0"/>
        </w:rPr>
        <w:t xml:space="preserve"> who report concerns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 xml:space="preserve">about experiencing 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VAWG </w:t>
      </w:r>
      <w:r w:rsidRPr="002B3A44">
        <w:rPr>
          <w:rFonts w:ascii="Aptos" w:hAnsi="Aptos" w:cs="Times New Roman"/>
          <w:color w:val="231F20"/>
          <w:kern w:val="0"/>
        </w:rPr>
        <w:t>when asked about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collecting cooking fuel or firewood</w:t>
      </w:r>
    </w:p>
    <w:p w:rsidRPr="005C52B3" w:rsidR="003A50C0" w:rsidP="005C52B3" w:rsidRDefault="003A50C0" w14:paraId="64331EC0" w14:textId="77777777">
      <w:pPr>
        <w:spacing w:after="0" w:line="240" w:lineRule="auto"/>
        <w:rPr>
          <w:rFonts w:ascii="Aptos" w:hAnsi="Aptos"/>
        </w:rPr>
      </w:pPr>
    </w:p>
    <w:p w:rsidR="66610F6C" w:rsidP="12B0767F" w:rsidRDefault="66610F6C" w14:paraId="6461CCCC">
      <w:pPr>
        <w:spacing w:after="0" w:line="240" w:lineRule="auto"/>
        <w:rPr>
          <w:rFonts w:ascii="Aptos" w:hAnsi="Aptos"/>
          <w:b w:val="1"/>
          <w:bCs w:val="1"/>
          <w:u w:val="single"/>
        </w:rPr>
      </w:pPr>
      <w:bookmarkStart w:name="Bookmark1" w:id="2004961031"/>
      <w:r w:rsidRPr="38D3DD28" w:rsidR="66610F6C">
        <w:rPr>
          <w:rFonts w:ascii="Aptos" w:hAnsi="Aptos"/>
          <w:b w:val="1"/>
          <w:bCs w:val="1"/>
          <w:u w:val="single"/>
        </w:rPr>
        <w:t>SITE DESIGN AND LAYOUT</w:t>
      </w:r>
      <w:bookmarkEnd w:id="2004961031"/>
    </w:p>
    <w:p w:rsidR="12B0767F" w:rsidP="12B0767F" w:rsidRDefault="12B0767F" w14:paraId="651B6532">
      <w:pPr>
        <w:spacing w:after="0" w:line="240" w:lineRule="auto"/>
        <w:rPr>
          <w:rFonts w:ascii="Aptos" w:hAnsi="Aptos"/>
        </w:rPr>
      </w:pPr>
    </w:p>
    <w:p w:rsidR="66610F6C" w:rsidP="12B0767F" w:rsidRDefault="66610F6C" w14:paraId="483C7C13" w14:textId="5C1EA0AB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/>
        </w:rPr>
      </w:pPr>
      <w:r w:rsidRPr="12B0767F" w:rsidR="66610F6C">
        <w:rPr>
          <w:rFonts w:ascii="Aptos" w:hAnsi="Aptos"/>
        </w:rPr>
        <w:t>% of sites* assessed (through consultations with the affected population) on VAWG</w:t>
      </w:r>
    </w:p>
    <w:p w:rsidR="66610F6C" w:rsidP="12B0767F" w:rsidRDefault="66610F6C" w14:paraId="2025269F" w14:textId="57763350">
      <w:pPr>
        <w:spacing w:after="0" w:line="240" w:lineRule="auto"/>
        <w:ind w:left="360" w:firstLine="360"/>
        <w:rPr>
          <w:rFonts w:ascii="Aptos" w:hAnsi="Aptos"/>
        </w:rPr>
      </w:pPr>
      <w:r w:rsidRPr="12B0767F" w:rsidR="66610F6C">
        <w:rPr>
          <w:rFonts w:ascii="Aptos" w:hAnsi="Aptos"/>
        </w:rPr>
        <w:t>risk factors in and around sites</w:t>
      </w:r>
    </w:p>
    <w:p w:rsidR="66610F6C" w:rsidP="12B0767F" w:rsidRDefault="66610F6C" w14:paraId="05172FF9" w14:textId="2422D841">
      <w:pPr>
        <w:pStyle w:val="ListParagraph"/>
        <w:numPr>
          <w:ilvl w:val="1"/>
          <w:numId w:val="11"/>
        </w:numPr>
        <w:spacing w:after="0" w:line="240" w:lineRule="auto"/>
        <w:rPr>
          <w:rFonts w:ascii="Aptos" w:hAnsi="Aptos"/>
          <w:i w:val="1"/>
          <w:iCs w:val="1"/>
        </w:rPr>
      </w:pPr>
      <w:r w:rsidRPr="12B0767F" w:rsidR="66610F6C">
        <w:rPr>
          <w:rFonts w:ascii="Aptos" w:hAnsi="Aptos"/>
          <w:i w:val="1"/>
          <w:iCs w:val="1"/>
        </w:rPr>
        <w:t>Sites can include water points, latrines, food and NFI distribution sites, safe spaces</w:t>
      </w:r>
    </w:p>
    <w:p w:rsidR="66610F6C" w:rsidP="12B0767F" w:rsidRDefault="66610F6C" w14:paraId="0C2EFB30" w14:textId="1BBB7053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="Times New Roman"/>
          <w:color w:val="231F20"/>
        </w:rPr>
      </w:pPr>
      <w:r w:rsidRPr="12B0767F" w:rsidR="66610F6C">
        <w:rPr>
          <w:rFonts w:ascii="Aptos" w:hAnsi="Aptos" w:cs="Times New Roman"/>
          <w:color w:val="231F20"/>
        </w:rPr>
        <w:t>% of displacement sites that have a designated safe space for women</w:t>
      </w:r>
    </w:p>
    <w:p w:rsidR="66610F6C" w:rsidP="12B0767F" w:rsidRDefault="66610F6C" w14:paraId="51E7E82E" w14:textId="48690775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Times New Roman"/>
          <w:color w:val="231F20"/>
        </w:rPr>
      </w:pPr>
      <w:r w:rsidRPr="12B0767F" w:rsidR="66610F6C">
        <w:rPr>
          <w:rFonts w:ascii="Aptos" w:hAnsi="Aptos" w:cs="Times New Roman"/>
          <w:color w:val="231F20"/>
        </w:rPr>
        <w:t>Coverage of security patrols:  # of security patrols present in displacement site compared to total # of displaced persons in displacement site</w:t>
      </w:r>
    </w:p>
    <w:p w:rsidR="66610F6C" w:rsidP="12B0767F" w:rsidRDefault="66610F6C" w14:paraId="24A0EAFB" w14:textId="38F753AF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Times New Roman"/>
          <w:color w:val="231F20"/>
        </w:rPr>
      </w:pPr>
      <w:r w:rsidRPr="12B0767F" w:rsidR="66610F6C">
        <w:rPr>
          <w:rFonts w:ascii="Aptos" w:hAnsi="Aptos" w:cs="Times New Roman"/>
          <w:color w:val="231F20"/>
        </w:rPr>
        <w:t>Change in frequency of patrols carried out in the displacement site</w:t>
      </w:r>
    </w:p>
    <w:p w:rsidR="66610F6C" w:rsidP="12B0767F" w:rsidRDefault="66610F6C" w14:paraId="6AFDA3A9" w14:textId="0E0321F6">
      <w:pPr>
        <w:pStyle w:val="ListParagraph"/>
        <w:numPr>
          <w:ilvl w:val="0"/>
          <w:numId w:val="12"/>
        </w:numPr>
        <w:spacing w:after="0" w:line="240" w:lineRule="auto"/>
        <w:rPr>
          <w:rFonts w:ascii="Aptos" w:hAnsi="Aptos" w:cs="Times New Roman"/>
          <w:color w:val="231F20"/>
        </w:rPr>
      </w:pPr>
      <w:r w:rsidRPr="12B0767F" w:rsidR="66610F6C">
        <w:rPr>
          <w:rFonts w:ascii="Aptos" w:hAnsi="Aptos" w:cs="Times New Roman"/>
          <w:color w:val="231F20"/>
        </w:rPr>
        <w:t>% of main points in site with functional lighting structure(s)</w:t>
      </w:r>
    </w:p>
    <w:p w:rsidR="12B0767F" w:rsidP="12B0767F" w:rsidRDefault="12B0767F" w14:paraId="2CAA3E16" w14:textId="423E1DA9">
      <w:pPr>
        <w:pStyle w:val="Normal"/>
        <w:spacing w:after="0" w:line="240" w:lineRule="auto"/>
        <w:rPr>
          <w:rFonts w:ascii="Aptos" w:hAnsi="Aptos"/>
          <w:b w:val="1"/>
          <w:bCs w:val="1"/>
          <w:u w:val="single"/>
        </w:rPr>
      </w:pPr>
    </w:p>
    <w:p w:rsidR="00C85F8E" w:rsidP="005C52B3" w:rsidRDefault="00C85F8E" w14:paraId="2279F38E" w14:textId="77777777">
      <w:pPr>
        <w:spacing w:after="0" w:line="240" w:lineRule="auto"/>
        <w:rPr>
          <w:rFonts w:ascii="Aptos" w:hAnsi="Aptos"/>
          <w:b/>
          <w:bCs/>
          <w:u w:val="single"/>
        </w:rPr>
      </w:pPr>
      <w:bookmarkStart w:name="WASH" w:id="12"/>
      <w:r w:rsidRPr="005C52B3">
        <w:rPr>
          <w:rFonts w:ascii="Aptos" w:hAnsi="Aptos"/>
          <w:b/>
          <w:bCs/>
          <w:u w:val="single"/>
        </w:rPr>
        <w:t>WASH</w:t>
      </w:r>
    </w:p>
    <w:bookmarkEnd w:id="12"/>
    <w:p w:rsidRPr="005C52B3" w:rsidR="002B3A44" w:rsidP="005C52B3" w:rsidRDefault="002B3A44" w14:paraId="122A620F" w14:textId="77777777">
      <w:pPr>
        <w:spacing w:after="0" w:line="240" w:lineRule="auto"/>
        <w:rPr>
          <w:rFonts w:ascii="Aptos" w:hAnsi="Aptos"/>
          <w:b/>
          <w:bCs/>
          <w:u w:val="single"/>
        </w:rPr>
      </w:pPr>
    </w:p>
    <w:p w:rsidRPr="002B3A44" w:rsidR="003A50C0" w:rsidP="002B3A44" w:rsidRDefault="003A50C0" w14:paraId="73474F62" w14:textId="2BDEA89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Female participation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prior to WASH facility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siting and design</w:t>
      </w:r>
      <w:r w:rsidRPr="002B3A44" w:rsidR="002B3A44">
        <w:rPr>
          <w:rFonts w:ascii="Aptos" w:hAnsi="Aptos" w:cs="Times New Roman"/>
          <w:color w:val="231F20"/>
          <w:kern w:val="0"/>
        </w:rPr>
        <w:t>: %</w:t>
      </w:r>
      <w:r w:rsidRPr="002B3A44">
        <w:rPr>
          <w:rFonts w:ascii="Aptos" w:hAnsi="Aptos" w:cs="Times New Roman"/>
          <w:color w:val="231F20"/>
          <w:kern w:val="0"/>
        </w:rPr>
        <w:t xml:space="preserve"> of affected persons consulted prior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to WASH facility siting and design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who are female</w:t>
      </w:r>
      <w:r w:rsidRPr="002B3A44">
        <w:rPr>
          <w:rFonts w:ascii="Aptos" w:hAnsi="Aptos"/>
        </w:rPr>
        <w:t xml:space="preserve"> </w:t>
      </w:r>
    </w:p>
    <w:p w:rsidRPr="002B3A44" w:rsidR="003A50C0" w:rsidP="002B3A44" w:rsidRDefault="003A50C0" w14:paraId="5DFA2937" w14:textId="112F8AB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lastRenderedPageBreak/>
        <w:t>Stock availability of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pre-positioned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supplies for mitigation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of risks of VAWG:  %</w:t>
      </w:r>
      <w:r w:rsidRPr="002B3A44">
        <w:rPr>
          <w:rFonts w:ascii="Aptos" w:hAnsi="Aptos" w:cs="Times New Roman"/>
          <w:color w:val="231F20"/>
          <w:kern w:val="0"/>
        </w:rPr>
        <w:t xml:space="preserve"> of </w:t>
      </w:r>
      <w:r w:rsidRPr="002B3A44" w:rsidR="002B3A44">
        <w:rPr>
          <w:rFonts w:ascii="Aptos" w:hAnsi="Aptos" w:cs="Times New Roman"/>
          <w:color w:val="231F20"/>
          <w:kern w:val="0"/>
        </w:rPr>
        <w:t>VAWG</w:t>
      </w:r>
      <w:r w:rsidRPr="002B3A44">
        <w:rPr>
          <w:rFonts w:ascii="Aptos" w:hAnsi="Aptos" w:cs="Times New Roman"/>
          <w:color w:val="231F20"/>
          <w:kern w:val="0"/>
        </w:rPr>
        <w:t xml:space="preserve"> risk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mitigation</w:t>
      </w:r>
      <w:r w:rsidRPr="002B3A44">
        <w:rPr>
          <w:rFonts w:ascii="Aptos" w:hAnsi="Aptos" w:cs="Times New Roman"/>
          <w:color w:val="231F20"/>
          <w:kern w:val="0"/>
        </w:rPr>
        <w:t xml:space="preserve"> supplies 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(dignity kits, hygiene kits, MHM materials, latrine locks, lights, etc.) </w:t>
      </w:r>
      <w:r w:rsidRPr="002B3A44">
        <w:rPr>
          <w:rFonts w:ascii="Aptos" w:hAnsi="Aptos" w:cs="Times New Roman"/>
          <w:color w:val="231F20"/>
          <w:kern w:val="0"/>
        </w:rPr>
        <w:t>that have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stock levels below minimum levels</w:t>
      </w:r>
      <w:r w:rsidRPr="002B3A44">
        <w:rPr>
          <w:rFonts w:ascii="Aptos" w:hAnsi="Aptos"/>
        </w:rPr>
        <w:t xml:space="preserve"> </w:t>
      </w:r>
    </w:p>
    <w:p w:rsidRPr="002B3A44" w:rsidR="003A50C0" w:rsidP="002B3A44" w:rsidRDefault="003A50C0" w14:paraId="370C2C61" w14:textId="320EBAE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Risk factors of V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AWG </w:t>
      </w:r>
      <w:r w:rsidRPr="002B3A44">
        <w:rPr>
          <w:rFonts w:ascii="Aptos" w:hAnsi="Aptos" w:cs="Times New Roman"/>
          <w:color w:val="231F20"/>
          <w:kern w:val="0"/>
        </w:rPr>
        <w:t>in and around WASH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facilities</w:t>
      </w:r>
      <w:r w:rsidRPr="002B3A44" w:rsidR="002B3A44">
        <w:rPr>
          <w:rFonts w:ascii="Aptos" w:hAnsi="Aptos" w:cs="Times New Roman"/>
          <w:color w:val="231F20"/>
          <w:kern w:val="0"/>
        </w:rPr>
        <w:t>: %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of affected 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females </w:t>
      </w:r>
      <w:r w:rsidRPr="002B3A44" w:rsidR="002B3A44">
        <w:rPr>
          <w:rFonts w:ascii="Aptos" w:hAnsi="Aptos" w:cs="Times New Roman"/>
          <w:color w:val="231F20"/>
          <w:kern w:val="0"/>
        </w:rPr>
        <w:t>who report concerns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about experiencing </w:t>
      </w:r>
      <w:r w:rsidRPr="002B3A44" w:rsidR="002B3A44">
        <w:rPr>
          <w:rFonts w:ascii="Aptos" w:hAnsi="Aptos" w:cs="Times New Roman"/>
          <w:color w:val="231F20"/>
          <w:kern w:val="0"/>
        </w:rPr>
        <w:t>VAWG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when asked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2B3A44">
        <w:rPr>
          <w:rFonts w:ascii="Aptos" w:hAnsi="Aptos" w:cs="Times New Roman"/>
          <w:color w:val="231F20"/>
          <w:kern w:val="0"/>
        </w:rPr>
        <w:t>about access to WASH facilities</w:t>
      </w:r>
      <w:r w:rsidRPr="002B3A44" w:rsidR="002B3A44">
        <w:rPr>
          <w:rFonts w:ascii="Aptos" w:hAnsi="Aptos"/>
        </w:rPr>
        <w:t xml:space="preserve"> (</w:t>
      </w:r>
      <w:r w:rsidRPr="002B3A44" w:rsidR="002B3A44">
        <w:rPr>
          <w:rFonts w:ascii="Aptos" w:hAnsi="Aptos" w:cs="Times New Roman"/>
          <w:color w:val="231F20"/>
          <w:kern w:val="0"/>
        </w:rPr>
        <w:t>d</w:t>
      </w:r>
      <w:r w:rsidRPr="002B3A44">
        <w:rPr>
          <w:rFonts w:ascii="Aptos" w:hAnsi="Aptos" w:cs="Times New Roman"/>
          <w:color w:val="231F20"/>
          <w:kern w:val="0"/>
        </w:rPr>
        <w:t>isaggregate</w:t>
      </w:r>
      <w:r w:rsidRPr="002B3A44" w:rsidR="002B3A44">
        <w:rPr>
          <w:rFonts w:ascii="Aptos" w:hAnsi="Aptos" w:cs="Times New Roman"/>
          <w:color w:val="231F20"/>
          <w:kern w:val="0"/>
        </w:rPr>
        <w:t>d</w:t>
      </w:r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by type of WASH facility, i.e.: </w:t>
      </w:r>
      <w:r w:rsidRPr="002B3A44">
        <w:rPr>
          <w:rFonts w:ascii="Aptos" w:hAnsi="Aptos" w:cs="Times New Roman"/>
          <w:color w:val="231F20"/>
          <w:kern w:val="0"/>
        </w:rPr>
        <w:t>water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point, bathing and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sanitation; time of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day; and geographic</w:t>
      </w:r>
      <w:r w:rsidRPr="002B3A44" w:rsidR="002B3A44">
        <w:rPr>
          <w:rFonts w:ascii="Aptos" w:hAnsi="Aptos" w:cs="Times New Roman"/>
          <w:color w:val="231F20"/>
          <w:kern w:val="0"/>
        </w:rPr>
        <w:t xml:space="preserve"> </w:t>
      </w:r>
      <w:r w:rsidRPr="002B3A44">
        <w:rPr>
          <w:rFonts w:ascii="Aptos" w:hAnsi="Aptos" w:cs="Times New Roman"/>
          <w:color w:val="231F20"/>
          <w:kern w:val="0"/>
        </w:rPr>
        <w:t>locations</w:t>
      </w:r>
    </w:p>
    <w:p w:rsidRPr="002B3A44" w:rsidR="00C85F8E" w:rsidP="002B3A44" w:rsidRDefault="002B3A44" w14:paraId="3B81406A" w14:textId="22FD654D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</w:rPr>
      </w:pPr>
      <w:r w:rsidRPr="002B3A44">
        <w:rPr>
          <w:rFonts w:ascii="Aptos" w:hAnsi="Aptos"/>
        </w:rPr>
        <w:t>Change in a</w:t>
      </w:r>
      <w:r w:rsidRPr="002B3A44" w:rsidR="00C85F8E">
        <w:rPr>
          <w:rFonts w:ascii="Aptos" w:hAnsi="Aptos"/>
        </w:rPr>
        <w:t>verage time/distance to water points</w:t>
      </w:r>
    </w:p>
    <w:p w:rsidRPr="002B3A44" w:rsidR="00C85F8E" w:rsidP="002B3A44" w:rsidRDefault="002B3A44" w14:paraId="6890F454" w14:textId="7263245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%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of affected persons living within</w:t>
      </w:r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500 meters of water point</w:t>
      </w:r>
    </w:p>
    <w:p w:rsidRPr="002B3A44" w:rsidR="003A50C0" w:rsidP="002B3A44" w:rsidRDefault="002B3A44" w14:paraId="3342A248" w14:textId="173ABD23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%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of specified affected areas that have</w:t>
      </w:r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sex-segregated (for shared facilities)</w:t>
      </w:r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and lockable WASH facilities</w:t>
      </w:r>
    </w:p>
    <w:p w:rsidRPr="002B3A44" w:rsidR="003A50C0" w:rsidP="002B3A44" w:rsidRDefault="002B3A44" w14:paraId="6400D1DC" w14:textId="35CFC69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%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of WASH facilities with</w:t>
      </w:r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>functional lighting</w:t>
      </w:r>
    </w:p>
    <w:p w:rsidRPr="002B3A44" w:rsidR="002B3A44" w:rsidP="002B3A44" w:rsidRDefault="002B3A44" w14:paraId="06F892A5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</w:rPr>
      </w:pPr>
      <w:r w:rsidRPr="002B3A44">
        <w:rPr>
          <w:rFonts w:ascii="Aptos" w:hAnsi="Aptos"/>
        </w:rPr>
        <w:t>% affected persons with water source available in X minutes, disaggregated by gender, age, disability and other vulnerability factors</w:t>
      </w:r>
    </w:p>
    <w:p w:rsidRPr="002B3A44" w:rsidR="002B3A44" w:rsidP="002B3A44" w:rsidRDefault="002B3A44" w14:paraId="091E832F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</w:rPr>
      </w:pPr>
      <w:r w:rsidRPr="002B3A44">
        <w:rPr>
          <w:rFonts w:ascii="Aptos" w:hAnsi="Aptos"/>
        </w:rPr>
        <w:t>% affected persons with access to improved water source, disaggregated by gender, age, disability and other vulnerability factors</w:t>
      </w:r>
    </w:p>
    <w:p w:rsidRPr="002B3A44" w:rsidR="003A50C0" w:rsidP="002B3A44" w:rsidRDefault="002B3A44" w14:paraId="00780044" w14:textId="7C1E06F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color w:val="231F20"/>
          <w:kern w:val="0"/>
        </w:rPr>
      </w:pPr>
      <w:r w:rsidRPr="002B3A44">
        <w:rPr>
          <w:rFonts w:ascii="Aptos" w:hAnsi="Aptos" w:cs="Times New Roman"/>
          <w:color w:val="231F20"/>
          <w:kern w:val="0"/>
        </w:rPr>
        <w:t>%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of females receiving</w:t>
      </w:r>
      <w:r w:rsidRPr="002B3A44">
        <w:rPr>
          <w:rFonts w:ascii="Aptos" w:hAnsi="Aptos" w:cs="Times New Roman"/>
          <w:color w:val="231F20"/>
          <w:kern w:val="0"/>
        </w:rPr>
        <w:t xml:space="preserve"> sufficient,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 </w:t>
      </w:r>
      <w:proofErr w:type="gramStart"/>
      <w:r w:rsidRPr="002B3A44" w:rsidR="003A50C0">
        <w:rPr>
          <w:rFonts w:ascii="Aptos" w:hAnsi="Aptos" w:cs="Times New Roman"/>
          <w:color w:val="231F20"/>
          <w:kern w:val="0"/>
        </w:rPr>
        <w:t>culturally</w:t>
      </w:r>
      <w:r w:rsidRPr="002B3A44">
        <w:rPr>
          <w:rFonts w:ascii="Aptos" w:hAnsi="Aptos" w:cs="Times New Roman"/>
          <w:color w:val="231F20"/>
          <w:kern w:val="0"/>
        </w:rPr>
        <w:t>-</w:t>
      </w:r>
      <w:r w:rsidRPr="002B3A44" w:rsidR="003A50C0">
        <w:rPr>
          <w:rFonts w:ascii="Aptos" w:hAnsi="Aptos" w:cs="Times New Roman"/>
          <w:color w:val="231F20"/>
          <w:kern w:val="0"/>
        </w:rPr>
        <w:t>appropriate</w:t>
      </w:r>
      <w:proofErr w:type="gramEnd"/>
      <w:r w:rsidRPr="002B3A44">
        <w:rPr>
          <w:rFonts w:ascii="Aptos" w:hAnsi="Aptos" w:cs="Times New Roman"/>
          <w:color w:val="231F20"/>
          <w:kern w:val="0"/>
        </w:rPr>
        <w:t xml:space="preserve"> </w:t>
      </w:r>
      <w:r w:rsidRPr="002B3A44" w:rsidR="003A50C0">
        <w:rPr>
          <w:rFonts w:ascii="Aptos" w:hAnsi="Aptos" w:cs="Times New Roman"/>
          <w:color w:val="231F20"/>
          <w:kern w:val="0"/>
        </w:rPr>
        <w:t xml:space="preserve">sanitary materials for menstruation </w:t>
      </w:r>
    </w:p>
    <w:p w:rsidRPr="002B3A44" w:rsidR="00C85F8E" w:rsidP="002B3A44" w:rsidRDefault="002B3A44" w14:paraId="39A710EF" w14:textId="5A1228B3">
      <w:pPr>
        <w:pStyle w:val="ListParagraph"/>
        <w:numPr>
          <w:ilvl w:val="0"/>
          <w:numId w:val="22"/>
        </w:numPr>
        <w:spacing w:after="0" w:line="240" w:lineRule="auto"/>
        <w:rPr>
          <w:rFonts w:ascii="Aptos" w:hAnsi="Aptos"/>
        </w:rPr>
      </w:pPr>
      <w:r w:rsidRPr="002B3A44">
        <w:rPr>
          <w:rFonts w:ascii="Aptos" w:hAnsi="Aptos"/>
        </w:rPr>
        <w:t xml:space="preserve">% affected persons </w:t>
      </w:r>
      <w:r w:rsidRPr="002B3A44" w:rsidR="00C85F8E">
        <w:rPr>
          <w:rFonts w:ascii="Aptos" w:hAnsi="Aptos"/>
        </w:rPr>
        <w:t xml:space="preserve">using </w:t>
      </w:r>
      <w:r w:rsidRPr="002B3A44">
        <w:rPr>
          <w:rFonts w:ascii="Aptos" w:hAnsi="Aptos"/>
        </w:rPr>
        <w:t>risky</w:t>
      </w:r>
      <w:r w:rsidRPr="002B3A44" w:rsidR="00C85F8E">
        <w:rPr>
          <w:rFonts w:ascii="Aptos" w:hAnsi="Aptos"/>
        </w:rPr>
        <w:t xml:space="preserve"> coping mechanisms (related to water)/%locations where people use negative coping mechanisms (related to water)</w:t>
      </w:r>
    </w:p>
    <w:p w:rsidRPr="002B3A44" w:rsidR="00C85F8E" w:rsidP="005C52B3" w:rsidRDefault="00C85F8E" w14:paraId="58D29A65" w14:textId="7D70165E">
      <w:pPr>
        <w:spacing w:after="0" w:line="240" w:lineRule="auto"/>
        <w:rPr>
          <w:rFonts w:ascii="Aptos" w:hAnsi="Aptos"/>
        </w:rPr>
      </w:pPr>
    </w:p>
    <w:sectPr w:rsidRPr="002B3A44" w:rsidR="00C85F8E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32fd218b821f425c"/>
      <w:headerReference w:type="first" r:id="R7eec52ad85f34d8a"/>
      <w:footerReference w:type="default" r:id="R1d0fcb53ac5745a6"/>
      <w:footerReference w:type="first" r:id="R2868ad93c5094b6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F74CA1" w:rsidTr="07F74CA1" w14:paraId="7E031E05">
      <w:trPr>
        <w:trHeight w:val="300"/>
      </w:trPr>
      <w:tc>
        <w:tcPr>
          <w:tcW w:w="3120" w:type="dxa"/>
          <w:tcMar/>
        </w:tcPr>
        <w:p w:rsidR="07F74CA1" w:rsidP="07F74CA1" w:rsidRDefault="07F74CA1" w14:paraId="0FAA5521" w14:textId="16237F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F74CA1" w:rsidP="07F74CA1" w:rsidRDefault="07F74CA1" w14:paraId="7EB6F091" w14:textId="73177A7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F74CA1" w:rsidP="07F74CA1" w:rsidRDefault="07F74CA1" w14:paraId="6B8F9914" w14:textId="7357AD33">
          <w:pPr>
            <w:pStyle w:val="Header"/>
            <w:bidi w:val="0"/>
            <w:ind w:right="-115"/>
            <w:jc w:val="right"/>
          </w:pPr>
        </w:p>
      </w:tc>
    </w:tr>
  </w:tbl>
  <w:p w:rsidR="07F74CA1" w:rsidP="07F74CA1" w:rsidRDefault="07F74CA1" w14:paraId="021DED48" w14:textId="5436AF8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F74CA1" w:rsidTr="07F74CA1" w14:paraId="43A6BC0F">
      <w:trPr>
        <w:trHeight w:val="300"/>
      </w:trPr>
      <w:tc>
        <w:tcPr>
          <w:tcW w:w="3120" w:type="dxa"/>
          <w:tcMar/>
        </w:tcPr>
        <w:p w:rsidR="07F74CA1" w:rsidP="07F74CA1" w:rsidRDefault="07F74CA1" w14:paraId="3E9FB7E9" w14:textId="5DB7364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F74CA1" w:rsidP="07F74CA1" w:rsidRDefault="07F74CA1" w14:paraId="1BC7315B" w14:textId="7AEB0F6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F74CA1" w:rsidP="07F74CA1" w:rsidRDefault="07F74CA1" w14:paraId="16AF164E" w14:textId="3B552798">
          <w:pPr>
            <w:pStyle w:val="Header"/>
            <w:bidi w:val="0"/>
            <w:ind w:right="-115"/>
            <w:jc w:val="right"/>
          </w:pPr>
        </w:p>
      </w:tc>
    </w:tr>
  </w:tbl>
  <w:p w:rsidR="07F74CA1" w:rsidP="07F74CA1" w:rsidRDefault="07F74CA1" w14:paraId="3E2C168D" w14:textId="27FBC3A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7F74CA1" w:rsidTr="07F74CA1" w14:paraId="5C1B7054">
      <w:trPr>
        <w:trHeight w:val="300"/>
      </w:trPr>
      <w:tc>
        <w:tcPr>
          <w:tcW w:w="3120" w:type="dxa"/>
          <w:tcMar/>
        </w:tcPr>
        <w:p w:rsidR="07F74CA1" w:rsidP="07F74CA1" w:rsidRDefault="07F74CA1" w14:paraId="1581FB5B" w14:textId="42456E4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7F74CA1" w:rsidP="07F74CA1" w:rsidRDefault="07F74CA1" w14:paraId="3EBAC8C4" w14:textId="1DAA5D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7F74CA1" w:rsidP="07F74CA1" w:rsidRDefault="07F74CA1" w14:paraId="287FB10F" w14:textId="4E291EDE">
          <w:pPr>
            <w:pStyle w:val="Header"/>
            <w:bidi w:val="0"/>
            <w:ind w:right="-115"/>
            <w:jc w:val="right"/>
          </w:pPr>
        </w:p>
      </w:tc>
    </w:tr>
  </w:tbl>
  <w:p w:rsidR="07F74CA1" w:rsidP="07F74CA1" w:rsidRDefault="07F74CA1" w14:paraId="0F77832C" w14:textId="37B86C97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07F74CA1" w:rsidTr="07F74CA1" w14:paraId="7F72AB3C">
      <w:trPr>
        <w:trHeight w:val="300"/>
      </w:trPr>
      <w:tc>
        <w:tcPr>
          <w:tcW w:w="9360" w:type="dxa"/>
          <w:tcMar/>
        </w:tcPr>
        <w:p w:rsidR="07F74CA1" w:rsidP="07F74CA1" w:rsidRDefault="07F74CA1" w14:paraId="477C4119" w14:textId="4DD87CC5">
          <w:pPr>
            <w:pStyle w:val="Header"/>
            <w:bidi w:val="0"/>
            <w:ind w:left="-115"/>
            <w:jc w:val="left"/>
          </w:pPr>
          <w:r w:rsidR="07F74CA1">
            <w:drawing>
              <wp:inline wp14:editId="0160FAB5" wp14:anchorId="4E32F454">
                <wp:extent cx="5810250" cy="762000"/>
                <wp:effectExtent l="0" t="0" r="0" b="0"/>
                <wp:docPr id="46849301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68493010" name="Picture 46849301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5702407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7F74CA1" w:rsidP="07F74CA1" w:rsidRDefault="07F74CA1" w14:paraId="5A8749DA" w14:textId="630E2D1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78c769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e09d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A198C"/>
    <w:multiLevelType w:val="hybridMultilevel"/>
    <w:tmpl w:val="AB3A5F5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0D5C24"/>
    <w:multiLevelType w:val="multilevel"/>
    <w:tmpl w:val="17A0CE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CF94CBA"/>
    <w:multiLevelType w:val="hybridMultilevel"/>
    <w:tmpl w:val="A3265AC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993B70"/>
    <w:multiLevelType w:val="multilevel"/>
    <w:tmpl w:val="EEEA1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27838"/>
    <w:multiLevelType w:val="multilevel"/>
    <w:tmpl w:val="8042DD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156F74B8"/>
    <w:multiLevelType w:val="hybridMultilevel"/>
    <w:tmpl w:val="15802AE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A37808"/>
    <w:multiLevelType w:val="multilevel"/>
    <w:tmpl w:val="15F4A5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19923725"/>
    <w:multiLevelType w:val="hybridMultilevel"/>
    <w:tmpl w:val="667C15F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D76CFD"/>
    <w:multiLevelType w:val="hybridMultilevel"/>
    <w:tmpl w:val="E0F8334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6A50C09"/>
    <w:multiLevelType w:val="hybridMultilevel"/>
    <w:tmpl w:val="D48C9BB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DE294B"/>
    <w:multiLevelType w:val="hybridMultilevel"/>
    <w:tmpl w:val="93628E3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18724296">
      <w:numFmt w:val="bullet"/>
      <w:lvlText w:val=""/>
      <w:lvlJc w:val="left"/>
      <w:pPr>
        <w:ind w:left="1440" w:hanging="360"/>
      </w:pPr>
      <w:rPr>
        <w:rFonts w:hint="default" w:ascii="Symbol" w:hAnsi="Symbol" w:cs="Times New Roman" w:eastAsiaTheme="minorHAns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3076D9"/>
    <w:multiLevelType w:val="multilevel"/>
    <w:tmpl w:val="6DEEA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3E5579D4"/>
    <w:multiLevelType w:val="multilevel"/>
    <w:tmpl w:val="1C146A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48B22518"/>
    <w:multiLevelType w:val="hybridMultilevel"/>
    <w:tmpl w:val="300EE8C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B640EF0"/>
    <w:multiLevelType w:val="multilevel"/>
    <w:tmpl w:val="85FEC5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4EFB2B78"/>
    <w:multiLevelType w:val="multilevel"/>
    <w:tmpl w:val="A8323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783997"/>
    <w:multiLevelType w:val="multilevel"/>
    <w:tmpl w:val="2286F5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4BE0F06"/>
    <w:multiLevelType w:val="hybridMultilevel"/>
    <w:tmpl w:val="0456D71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3701C4"/>
    <w:multiLevelType w:val="hybridMultilevel"/>
    <w:tmpl w:val="B61C094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43092A"/>
    <w:multiLevelType w:val="hybridMultilevel"/>
    <w:tmpl w:val="9CE8E70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B780326"/>
    <w:multiLevelType w:val="hybridMultilevel"/>
    <w:tmpl w:val="706A33B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5F6C2BAC">
      <w:numFmt w:val="bullet"/>
      <w:lvlText w:val=""/>
      <w:lvlJc w:val="left"/>
      <w:pPr>
        <w:ind w:left="1440" w:hanging="360"/>
      </w:pPr>
      <w:rPr>
        <w:rFonts w:hint="default" w:ascii="Symbol" w:hAnsi="Symbol" w:eastAsiaTheme="minorHAnsi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C6B7417"/>
    <w:multiLevelType w:val="multilevel"/>
    <w:tmpl w:val="C63ED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24">
    <w:abstractNumId w:val="23"/>
  </w:num>
  <w:num w:numId="23">
    <w:abstractNumId w:val="22"/>
  </w:num>
  <w:num w:numId="1" w16cid:durableId="1256011280">
    <w:abstractNumId w:val="15"/>
  </w:num>
  <w:num w:numId="2" w16cid:durableId="1981961446">
    <w:abstractNumId w:val="14"/>
  </w:num>
  <w:num w:numId="3" w16cid:durableId="462621693">
    <w:abstractNumId w:val="12"/>
  </w:num>
  <w:num w:numId="4" w16cid:durableId="1895460701">
    <w:abstractNumId w:val="6"/>
  </w:num>
  <w:num w:numId="5" w16cid:durableId="1105463172">
    <w:abstractNumId w:val="4"/>
  </w:num>
  <w:num w:numId="6" w16cid:durableId="124279176">
    <w:abstractNumId w:val="3"/>
  </w:num>
  <w:num w:numId="7" w16cid:durableId="909778466">
    <w:abstractNumId w:val="1"/>
  </w:num>
  <w:num w:numId="8" w16cid:durableId="1281914256">
    <w:abstractNumId w:val="11"/>
  </w:num>
  <w:num w:numId="9" w16cid:durableId="659043671">
    <w:abstractNumId w:val="16"/>
  </w:num>
  <w:num w:numId="10" w16cid:durableId="1417283848">
    <w:abstractNumId w:val="21"/>
  </w:num>
  <w:num w:numId="11" w16cid:durableId="1811439261">
    <w:abstractNumId w:val="20"/>
  </w:num>
  <w:num w:numId="12" w16cid:durableId="113790640">
    <w:abstractNumId w:val="18"/>
  </w:num>
  <w:num w:numId="13" w16cid:durableId="1364481394">
    <w:abstractNumId w:val="10"/>
  </w:num>
  <w:num w:numId="14" w16cid:durableId="1149663797">
    <w:abstractNumId w:val="2"/>
  </w:num>
  <w:num w:numId="15" w16cid:durableId="1384061689">
    <w:abstractNumId w:val="19"/>
  </w:num>
  <w:num w:numId="16" w16cid:durableId="1846246201">
    <w:abstractNumId w:val="8"/>
  </w:num>
  <w:num w:numId="17" w16cid:durableId="743839977">
    <w:abstractNumId w:val="13"/>
  </w:num>
  <w:num w:numId="18" w16cid:durableId="1770392866">
    <w:abstractNumId w:val="0"/>
  </w:num>
  <w:num w:numId="19" w16cid:durableId="1159535813">
    <w:abstractNumId w:val="17"/>
  </w:num>
  <w:num w:numId="20" w16cid:durableId="658272331">
    <w:abstractNumId w:val="9"/>
  </w:num>
  <w:num w:numId="21" w16cid:durableId="1774932951">
    <w:abstractNumId w:val="5"/>
  </w:num>
  <w:num w:numId="22" w16cid:durableId="1596597864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F8E"/>
    <w:rsid w:val="000C3289"/>
    <w:rsid w:val="001322D3"/>
    <w:rsid w:val="0014453F"/>
    <w:rsid w:val="002B3A44"/>
    <w:rsid w:val="003A50C0"/>
    <w:rsid w:val="00516E5B"/>
    <w:rsid w:val="005C52B3"/>
    <w:rsid w:val="006E6B8C"/>
    <w:rsid w:val="00702868"/>
    <w:rsid w:val="00757634"/>
    <w:rsid w:val="0080EFE1"/>
    <w:rsid w:val="009C1EF4"/>
    <w:rsid w:val="00A863B7"/>
    <w:rsid w:val="00AB5885"/>
    <w:rsid w:val="00C85F8E"/>
    <w:rsid w:val="00D0059F"/>
    <w:rsid w:val="022E40B9"/>
    <w:rsid w:val="0242E2D0"/>
    <w:rsid w:val="0287182E"/>
    <w:rsid w:val="05A21698"/>
    <w:rsid w:val="07416AD4"/>
    <w:rsid w:val="07F74CA1"/>
    <w:rsid w:val="0852620A"/>
    <w:rsid w:val="097E0EBF"/>
    <w:rsid w:val="0B959DD4"/>
    <w:rsid w:val="11607F74"/>
    <w:rsid w:val="116396EA"/>
    <w:rsid w:val="12065537"/>
    <w:rsid w:val="12941253"/>
    <w:rsid w:val="12B0767F"/>
    <w:rsid w:val="1555E4E7"/>
    <w:rsid w:val="162EF185"/>
    <w:rsid w:val="17139601"/>
    <w:rsid w:val="18E2CA94"/>
    <w:rsid w:val="18EC3108"/>
    <w:rsid w:val="1B597028"/>
    <w:rsid w:val="1C8626A0"/>
    <w:rsid w:val="1CF6E851"/>
    <w:rsid w:val="1D26205F"/>
    <w:rsid w:val="1DAEB6F0"/>
    <w:rsid w:val="1F515DFE"/>
    <w:rsid w:val="20700FFF"/>
    <w:rsid w:val="219264BB"/>
    <w:rsid w:val="24F5422D"/>
    <w:rsid w:val="25196D4C"/>
    <w:rsid w:val="251E5113"/>
    <w:rsid w:val="2570A07D"/>
    <w:rsid w:val="29628F8A"/>
    <w:rsid w:val="2BB38379"/>
    <w:rsid w:val="2C1EF5CA"/>
    <w:rsid w:val="2CC9558C"/>
    <w:rsid w:val="2FC6D337"/>
    <w:rsid w:val="306BC093"/>
    <w:rsid w:val="31DACBEB"/>
    <w:rsid w:val="32985805"/>
    <w:rsid w:val="34956F16"/>
    <w:rsid w:val="34B227D9"/>
    <w:rsid w:val="35115FD0"/>
    <w:rsid w:val="35CFA44D"/>
    <w:rsid w:val="37D06A44"/>
    <w:rsid w:val="38D3DD28"/>
    <w:rsid w:val="3A3FC3B5"/>
    <w:rsid w:val="3A81F3C1"/>
    <w:rsid w:val="3AFBE62D"/>
    <w:rsid w:val="3FF916CA"/>
    <w:rsid w:val="4094A67D"/>
    <w:rsid w:val="44BF0549"/>
    <w:rsid w:val="468AEFAF"/>
    <w:rsid w:val="468AEFAF"/>
    <w:rsid w:val="4AE960B5"/>
    <w:rsid w:val="4AEE8F35"/>
    <w:rsid w:val="4B46D5E7"/>
    <w:rsid w:val="4D608B39"/>
    <w:rsid w:val="4E2C7AD6"/>
    <w:rsid w:val="4F39D54E"/>
    <w:rsid w:val="5118CC9E"/>
    <w:rsid w:val="51806A55"/>
    <w:rsid w:val="532AD619"/>
    <w:rsid w:val="546B211F"/>
    <w:rsid w:val="54DAEE71"/>
    <w:rsid w:val="552A4A58"/>
    <w:rsid w:val="56232036"/>
    <w:rsid w:val="563D0EAA"/>
    <w:rsid w:val="56723EE8"/>
    <w:rsid w:val="56C36B0F"/>
    <w:rsid w:val="5B205AB8"/>
    <w:rsid w:val="5D6B9155"/>
    <w:rsid w:val="5D6B9155"/>
    <w:rsid w:val="5E14A58C"/>
    <w:rsid w:val="617C5B9B"/>
    <w:rsid w:val="64072E16"/>
    <w:rsid w:val="6509C00D"/>
    <w:rsid w:val="66610F6C"/>
    <w:rsid w:val="66887DA7"/>
    <w:rsid w:val="6696ED74"/>
    <w:rsid w:val="6782A6A9"/>
    <w:rsid w:val="6913882B"/>
    <w:rsid w:val="6B8B2B26"/>
    <w:rsid w:val="6BDFCE85"/>
    <w:rsid w:val="6F08D5D1"/>
    <w:rsid w:val="71D1D99D"/>
    <w:rsid w:val="7272ED61"/>
    <w:rsid w:val="72A81B9C"/>
    <w:rsid w:val="756F4708"/>
    <w:rsid w:val="7717B838"/>
    <w:rsid w:val="79FB9FDE"/>
    <w:rsid w:val="7A4AF3B1"/>
    <w:rsid w:val="7A9C5532"/>
    <w:rsid w:val="7BDCAFF3"/>
    <w:rsid w:val="7C219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9F7A1"/>
  <w15:chartTrackingRefBased/>
  <w15:docId w15:val="{C0551791-5443-C540-9EFA-CE075B3D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50C0"/>
  </w:style>
  <w:style w:type="paragraph" w:styleId="Heading1">
    <w:name w:val="heading 1"/>
    <w:basedOn w:val="Normal"/>
    <w:next w:val="Normal"/>
    <w:link w:val="Heading1Char"/>
    <w:uiPriority w:val="9"/>
    <w:qFormat/>
    <w:rsid w:val="00C85F8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F8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85F8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85F8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85F8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85F8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85F8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85F8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85F8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85F8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85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F8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5F8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85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F8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85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F8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85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F8E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AB58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AB5885"/>
  </w:style>
  <w:style w:type="character" w:styleId="eop" w:customStyle="1">
    <w:name w:val="eop"/>
    <w:basedOn w:val="DefaultParagraphFont"/>
    <w:rsid w:val="00AB5885"/>
  </w:style>
  <w:style w:type="character" w:styleId="CommentReference">
    <w:name w:val="annotation reference"/>
    <w:basedOn w:val="DefaultParagraphFont"/>
    <w:uiPriority w:val="99"/>
    <w:semiHidden/>
    <w:unhideWhenUsed/>
    <w:rsid w:val="00AB58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88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B58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88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B58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028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2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868"/>
    <w:rPr>
      <w:color w:val="96607D" w:themeColor="followedHyperlink"/>
      <w:u w:val="single"/>
    </w:rPr>
  </w:style>
  <w:style w:type="paragraph" w:styleId="Header">
    <w:uiPriority w:val="99"/>
    <w:name w:val="header"/>
    <w:basedOn w:val="Normal"/>
    <w:unhideWhenUsed/>
    <w:rsid w:val="07F74CA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7F74CA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gbvguidelines.org/wp/wp-content/uploads/2025/11/EiE-Menu-of-Measures-with-integrated-Guidance-Notes-Final.pdf" TargetMode="External" Id="Rff03fbf0e7224be2" /><Relationship Type="http://schemas.openxmlformats.org/officeDocument/2006/relationships/hyperlink" Target="https://gbvguidelines.org/sp-toolkit/start/" TargetMode="External" Id="R5c575b77c80f415f" /><Relationship Type="http://schemas.openxmlformats.org/officeDocument/2006/relationships/header" Target="header.xml" Id="R32fd218b821f425c" /><Relationship Type="http://schemas.openxmlformats.org/officeDocument/2006/relationships/header" Target="header2.xml" Id="R7eec52ad85f34d8a" /><Relationship Type="http://schemas.openxmlformats.org/officeDocument/2006/relationships/footer" Target="footer.xml" Id="R1d0fcb53ac5745a6" /><Relationship Type="http://schemas.openxmlformats.org/officeDocument/2006/relationships/footer" Target="footer2.xml" Id="R2868ad93c5094b61" /><Relationship Type="http://schemas.openxmlformats.org/officeDocument/2006/relationships/hyperlink" Target="https://gbvguidelines.org/wp/wp-content/uploads/2025/12/Sample-Indicators_general.docx" TargetMode="External" Id="R7c30c6808713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95702407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Dina Hanania</lastModifiedBy>
  <revision>13</revision>
  <dcterms:created xsi:type="dcterms:W3CDTF">2025-11-05T20:07:00.0000000Z</dcterms:created>
  <dcterms:modified xsi:type="dcterms:W3CDTF">2026-03-09T20:37:00.7281601Z</dcterms:modified>
</coreProperties>
</file>