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F76" w:rsidP="770987CD" w:rsidRDefault="00E20F76" w14:paraId="6AECDD1F" w14:textId="6B5392C0">
      <w:pPr>
        <w:pStyle w:val="paragraph"/>
        <w:spacing w:before="0" w:beforeAutospacing="off" w:after="0" w:afterAutospacing="off"/>
        <w:textAlignment w:val="baseline"/>
        <w:rPr>
          <w:rStyle w:val="eop"/>
          <w:rFonts w:ascii="Aptos" w:hAnsi="Aptos" w:eastAsia="" w:cs="Segoe UI" w:eastAsiaTheme="majorEastAsia"/>
          <w:sz w:val="28"/>
          <w:szCs w:val="28"/>
        </w:rPr>
      </w:pPr>
      <w:r w:rsidRPr="770987CD" w:rsidR="00E20F76">
        <w:rPr>
          <w:rStyle w:val="normaltextrun"/>
          <w:rFonts w:ascii="Aptos" w:hAnsi="Aptos" w:eastAsia="" w:cs="Segoe UI" w:eastAsiaTheme="majorEastAsia"/>
          <w:b w:val="1"/>
          <w:bCs w:val="1"/>
          <w:sz w:val="28"/>
          <w:szCs w:val="28"/>
        </w:rPr>
        <w:t>SAMPLE VAWG RISK MITIGATION INDICATORS - GENERAL</w:t>
      </w:r>
    </w:p>
    <w:p w:rsidRPr="00E20F76" w:rsidR="00E20F76" w:rsidP="00E20F76" w:rsidRDefault="00E20F76" w14:paraId="4160D862" w14:textId="7FD9AD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E20F76">
        <w:rPr>
          <w:rStyle w:val="normaltextrun"/>
          <w:rFonts w:ascii="Aptos" w:hAnsi="Aptos" w:cs="Segoe UI" w:eastAsiaTheme="majorEastAsia"/>
          <w:i/>
          <w:iCs/>
        </w:rPr>
        <w:t xml:space="preserve">Source: </w:t>
      </w:r>
      <w:r w:rsidRPr="00E20F76">
        <w:rPr>
          <w:rStyle w:val="normaltextrun"/>
          <w:rFonts w:ascii="Aptos" w:hAnsi="Aptos" w:cs="Segoe UI" w:eastAsiaTheme="majorEastAsia"/>
          <w:i/>
          <w:iCs/>
        </w:rPr>
        <w:t>UNICEF</w:t>
      </w:r>
      <w:r w:rsidRPr="00E20F76">
        <w:rPr>
          <w:rStyle w:val="eop"/>
          <w:rFonts w:ascii="Aptos" w:hAnsi="Aptos" w:cs="Segoe UI" w:eastAsiaTheme="majorEastAsia"/>
          <w:i/>
          <w:iCs/>
        </w:rPr>
        <w:t>, CARE</w:t>
      </w:r>
    </w:p>
    <w:p w:rsidR="00E20F76" w:rsidP="00E20F76" w:rsidRDefault="00E20F76" w14:paraId="3B5A032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</w:rPr>
        <w:t> </w:t>
      </w:r>
    </w:p>
    <w:p w:rsidR="00E20F76" w:rsidP="770987CD" w:rsidRDefault="00E20F76" w14:paraId="07383AC0" w14:textId="150D348E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70987CD" w:rsidR="00E20F76">
        <w:rPr>
          <w:rStyle w:val="normaltextrun"/>
          <w:rFonts w:ascii="Aptos" w:hAnsi="Aptos" w:eastAsia="" w:cs="Segoe UI" w:eastAsiaTheme="majorEastAsia"/>
          <w:b w:val="0"/>
          <w:bCs w:val="0"/>
          <w:color w:val="000000"/>
        </w:rPr>
        <w:t xml:space="preserve">This tool is part of CA</w:t>
      </w:r>
      <w:r w:rsidRPr="770987CD" w:rsidR="00E20F76">
        <w:rPr>
          <w:rStyle w:val="normaltextrun"/>
          <w:rFonts w:ascii="Aptos" w:hAnsi="Aptos" w:eastAsia="" w:cs="Segoe UI" w:eastAsiaTheme="majorEastAsia"/>
          <w:b w:val="0"/>
          <w:bCs w:val="0"/>
          <w:color w:val="000000"/>
        </w:rPr>
        <w:t xml:space="preserve">RE’s</w:t>
      </w:r>
      <w:r w:rsidRPr="770987CD" w:rsidR="00E20F76">
        <w:rPr>
          <w:rStyle w:val="normaltextrun"/>
          <w:rFonts w:ascii="Aptos" w:hAnsi="Aptos" w:eastAsia="" w:cs="Segoe UI" w:eastAsiaTheme="majorEastAsia"/>
          <w:b w:val="1"/>
          <w:bCs w:val="1"/>
          <w:color w:val="000000"/>
        </w:rPr>
        <w:t xml:space="preserve"> </w:t>
      </w:r>
      <w:hyperlink r:id="Rc302937d25f742b7">
        <w:r w:rsidRPr="770987CD" w:rsidR="00E20F76">
          <w:rPr>
            <w:rStyle w:val="Hyperlink"/>
            <w:rFonts w:ascii="Aptos" w:hAnsi="Aptos" w:eastAsia="" w:cs="Segoe UI" w:eastAsiaTheme="majorEastAsia"/>
            <w:b w:val="1"/>
            <w:bCs w:val="1"/>
          </w:rPr>
          <w:t>Do No Harm in Practice Toolkit</w:t>
        </w:r>
      </w:hyperlink>
      <w:r w:rsidRPr="770987CD" w:rsidR="00E20F76">
        <w:rPr>
          <w:rStyle w:val="normaltextrun"/>
          <w:rFonts w:ascii="Aptos" w:hAnsi="Aptos" w:eastAsia="" w:cs="Segoe UI" w:eastAsiaTheme="majorEastAsia"/>
          <w:b w:val="1"/>
          <w:bCs w:val="1"/>
          <w:color w:val="000000"/>
        </w:rPr>
        <w:t xml:space="preserve">, </w:t>
      </w:r>
      <w:r w:rsidRPr="770987CD" w:rsidR="00E20F76">
        <w:rPr>
          <w:rStyle w:val="normaltextrun"/>
          <w:rFonts w:ascii="Aptos" w:hAnsi="Aptos" w:eastAsia="" w:cs="Segoe UI" w:eastAsiaTheme="majorEastAsia"/>
          <w:color w:val="000000"/>
        </w:rPr>
        <w:t xml:space="preserve">specifically</w:t>
      </w:r>
      <w:r w:rsidRPr="770987CD" w:rsidR="00E20F76">
        <w:rPr>
          <w:rStyle w:val="normaltextrun"/>
          <w:rFonts w:ascii="Aptos" w:hAnsi="Aptos" w:eastAsia="" w:cs="Segoe UI" w:eastAsiaTheme="majorEastAsia"/>
          <w:color w:val="000000"/>
        </w:rPr>
        <w:t xml:space="preserve"> the </w:t>
      </w:r>
      <w:r w:rsidRPr="770987CD" w:rsidR="00E20F76">
        <w:rPr>
          <w:rStyle w:val="normaltextrun"/>
          <w:rFonts w:ascii="Aptos" w:hAnsi="Aptos" w:eastAsia="" w:cs="Segoe UI" w:eastAsiaTheme="majorEastAsia"/>
          <w:color w:val="000000"/>
          <w:u w:val="single"/>
        </w:rPr>
        <w:t xml:space="preserve">Monitoring and Evaluation</w:t>
      </w:r>
      <w:r w:rsidRPr="770987CD" w:rsidR="00E20F76">
        <w:rPr>
          <w:rStyle w:val="normaltextrun"/>
          <w:rFonts w:ascii="Aptos" w:hAnsi="Aptos" w:eastAsia="" w:cs="Segoe UI" w:eastAsiaTheme="majorEastAsia"/>
          <w:color w:val="000000"/>
          <w:u w:val="single"/>
        </w:rPr>
        <w:t xml:space="preserve"> </w:t>
      </w:r>
      <w:r w:rsidRPr="770987CD" w:rsidR="00E20F76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>section.</w:t>
      </w:r>
      <w:r w:rsidRPr="770987CD" w:rsidR="00E20F76">
        <w:rPr>
          <w:rStyle w:val="eop"/>
          <w:rFonts w:ascii="Aptos" w:hAnsi="Aptos" w:eastAsia="" w:cs="Segoe UI" w:eastAsiaTheme="majorEastAsia"/>
          <w:color w:val="000000" w:themeColor="text1" w:themeTint="FF" w:themeShade="FF"/>
        </w:rPr>
        <w:t> </w:t>
      </w:r>
    </w:p>
    <w:p w:rsidR="00E20F76" w:rsidP="770987CD" w:rsidRDefault="00E20F76" w14:paraId="13329F16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70987CD" w:rsidR="00E20F76">
        <w:rPr>
          <w:rStyle w:val="eop"/>
          <w:rFonts w:ascii="Aptos" w:hAnsi="Aptos" w:eastAsia="" w:cs="Segoe UI" w:eastAsiaTheme="majorEastAsia"/>
        </w:rPr>
        <w:t> </w:t>
      </w:r>
    </w:p>
    <w:p w:rsidR="00E20F76" w:rsidP="002662A1" w:rsidRDefault="00E20F76" w14:paraId="180DBF7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  <w:b/>
          <w:bCs/>
        </w:rPr>
        <w:t>WHAT IS IT?</w:t>
      </w:r>
      <w:r>
        <w:rPr>
          <w:rStyle w:val="eop"/>
          <w:rFonts w:ascii="Aptos" w:hAnsi="Aptos" w:cs="Segoe UI" w:eastAsiaTheme="majorEastAsia"/>
        </w:rPr>
        <w:t> </w:t>
      </w:r>
    </w:p>
    <w:p w:rsidR="00E20F76" w:rsidP="002662A1" w:rsidRDefault="00E20F76" w14:paraId="6E43220C" w14:textId="39C5B278">
      <w:pPr>
        <w:spacing w:after="0" w:line="240" w:lineRule="auto"/>
      </w:pPr>
      <w:r>
        <w:t xml:space="preserve">The indicators below are </w:t>
      </w:r>
      <w:r w:rsidRPr="00E20F76">
        <w:rPr>
          <w:i/>
          <w:iCs/>
        </w:rPr>
        <w:t>general</w:t>
      </w:r>
      <w:r>
        <w:t xml:space="preserve"> sample indicators to be adapted as needed by sector/type of program. These sample indicators are divided in 2 ways: </w:t>
      </w:r>
    </w:p>
    <w:p w:rsidR="002662A1" w:rsidP="002662A1" w:rsidRDefault="002662A1" w14:paraId="0E6CAA5B" w14:textId="77777777">
      <w:pPr>
        <w:spacing w:after="0" w:line="240" w:lineRule="auto"/>
      </w:pPr>
    </w:p>
    <w:p w:rsidR="00E20F76" w:rsidP="002662A1" w:rsidRDefault="00E20F76" w14:paraId="20FC46AF" w14:textId="605CD282">
      <w:pPr>
        <w:pStyle w:val="ListParagraph"/>
        <w:numPr>
          <w:ilvl w:val="0"/>
          <w:numId w:val="4"/>
        </w:numPr>
        <w:spacing w:after="0" w:line="240" w:lineRule="auto"/>
      </w:pPr>
      <w:r>
        <w:t>Understanding the degree to which programming influences any of 4 themes:</w:t>
      </w:r>
    </w:p>
    <w:p w:rsidR="00E20F76" w:rsidP="002662A1" w:rsidRDefault="00E20F76" w14:paraId="17F0C7DB" w14:textId="6E377131">
      <w:pPr>
        <w:pStyle w:val="ListParagraph"/>
        <w:numPr>
          <w:ilvl w:val="1"/>
          <w:numId w:val="5"/>
        </w:numPr>
        <w:spacing w:after="0" w:line="240" w:lineRule="auto"/>
      </w:pPr>
      <w:r>
        <w:t>Risks of VAWG associated with programming</w:t>
      </w:r>
    </w:p>
    <w:p w:rsidR="00E20F76" w:rsidP="002662A1" w:rsidRDefault="00E20F76" w14:paraId="2D108E60" w14:textId="0990CC40">
      <w:pPr>
        <w:pStyle w:val="ListParagraph"/>
        <w:numPr>
          <w:ilvl w:val="1"/>
          <w:numId w:val="5"/>
        </w:numPr>
        <w:spacing w:after="0" w:line="240" w:lineRule="auto"/>
      </w:pPr>
      <w:r>
        <w:t>Perceptions of safety and well-being</w:t>
      </w:r>
    </w:p>
    <w:p w:rsidR="00E20F76" w:rsidP="002662A1" w:rsidRDefault="00E20F76" w14:paraId="5C2E1A66" w14:textId="56AFBB94">
      <w:pPr>
        <w:pStyle w:val="ListParagraph"/>
        <w:numPr>
          <w:ilvl w:val="1"/>
          <w:numId w:val="5"/>
        </w:numPr>
        <w:spacing w:after="0" w:line="240" w:lineRule="auto"/>
      </w:pPr>
      <w:r>
        <w:t>Access or barriers to services</w:t>
      </w:r>
    </w:p>
    <w:p w:rsidR="00E20F76" w:rsidP="002662A1" w:rsidRDefault="00E20F76" w14:paraId="7FE15C95" w14:textId="38779998">
      <w:pPr>
        <w:pStyle w:val="ListParagraph"/>
        <w:numPr>
          <w:ilvl w:val="1"/>
          <w:numId w:val="5"/>
        </w:numPr>
        <w:spacing w:after="0" w:line="240" w:lineRule="auto"/>
      </w:pPr>
      <w:r>
        <w:t>Sector-specific outcomes</w:t>
      </w:r>
    </w:p>
    <w:p w:rsidR="00E20F76" w:rsidP="002662A1" w:rsidRDefault="00E20F76" w14:paraId="7FE1244D" w14:textId="77777777">
      <w:pPr>
        <w:spacing w:after="0" w:line="240" w:lineRule="auto"/>
        <w:ind w:left="720"/>
      </w:pPr>
    </w:p>
    <w:p w:rsidR="00E20F76" w:rsidP="002662A1" w:rsidRDefault="00E20F76" w14:paraId="6278A02D" w14:textId="47EC92EF">
      <w:pPr>
        <w:pStyle w:val="ListParagraph"/>
        <w:numPr>
          <w:ilvl w:val="0"/>
          <w:numId w:val="4"/>
        </w:numPr>
        <w:spacing w:after="0" w:line="240" w:lineRule="auto"/>
        <w:rPr/>
      </w:pPr>
      <w:r w:rsidR="00E20F76">
        <w:rPr/>
        <w:t xml:space="preserve">By the categories of the </w:t>
      </w:r>
      <w:hyperlink r:id="R380711af04454318">
        <w:r w:rsidRPr="770987CD" w:rsidR="00E20F76">
          <w:rPr>
            <w:rStyle w:val="Hyperlink"/>
            <w:b w:val="1"/>
            <w:bCs w:val="1"/>
          </w:rPr>
          <w:t>AAAQ framework</w:t>
        </w:r>
      </w:hyperlink>
      <w:r w:rsidR="00E20F76">
        <w:rPr/>
        <w:t>:</w:t>
      </w:r>
    </w:p>
    <w:p w:rsidR="00E20F76" w:rsidP="002662A1" w:rsidRDefault="00E20F76" w14:paraId="444DC748" w14:textId="4C464553">
      <w:pPr>
        <w:pStyle w:val="ListParagraph"/>
        <w:numPr>
          <w:ilvl w:val="1"/>
          <w:numId w:val="4"/>
        </w:numPr>
        <w:spacing w:after="0" w:line="240" w:lineRule="auto"/>
      </w:pPr>
      <w:r>
        <w:t>Availability</w:t>
      </w:r>
    </w:p>
    <w:p w:rsidR="00E20F76" w:rsidP="002662A1" w:rsidRDefault="00E20F76" w14:paraId="758BDA77" w14:textId="6A02A106">
      <w:pPr>
        <w:pStyle w:val="ListParagraph"/>
        <w:numPr>
          <w:ilvl w:val="1"/>
          <w:numId w:val="4"/>
        </w:numPr>
        <w:spacing w:after="0" w:line="240" w:lineRule="auto"/>
      </w:pPr>
      <w:r>
        <w:t>Accessibility</w:t>
      </w:r>
    </w:p>
    <w:p w:rsidR="00E20F76" w:rsidP="002662A1" w:rsidRDefault="00E20F76" w14:paraId="579D6660" w14:textId="75001995">
      <w:pPr>
        <w:pStyle w:val="ListParagraph"/>
        <w:numPr>
          <w:ilvl w:val="1"/>
          <w:numId w:val="4"/>
        </w:numPr>
        <w:spacing w:after="0" w:line="240" w:lineRule="auto"/>
      </w:pPr>
      <w:r>
        <w:t>Acceptability</w:t>
      </w:r>
    </w:p>
    <w:p w:rsidR="00E20F76" w:rsidP="002662A1" w:rsidRDefault="00E20F76" w14:paraId="4C06B297" w14:textId="056AC24E">
      <w:pPr>
        <w:pStyle w:val="ListParagraph"/>
        <w:numPr>
          <w:ilvl w:val="1"/>
          <w:numId w:val="4"/>
        </w:numPr>
        <w:spacing w:after="0" w:line="240" w:lineRule="auto"/>
      </w:pPr>
      <w:r>
        <w:t>Quality</w:t>
      </w:r>
    </w:p>
    <w:p w:rsidR="002662A1" w:rsidP="002662A1" w:rsidRDefault="002662A1" w14:paraId="402D273A" w14:textId="77777777">
      <w:pPr>
        <w:spacing w:after="0" w:line="240" w:lineRule="auto"/>
      </w:pPr>
    </w:p>
    <w:p w:rsidR="00E20F76" w:rsidP="002662A1" w:rsidRDefault="00E20F76" w14:paraId="7257EECD" w14:textId="79D01E73">
      <w:pPr>
        <w:spacing w:after="0" w:line="240" w:lineRule="auto"/>
      </w:pPr>
      <w:r>
        <w:t xml:space="preserve">The specific indicators under each of the 2 categories </w:t>
      </w:r>
      <w:r w:rsidR="002662A1">
        <w:t>overlap</w:t>
      </w:r>
      <w:r>
        <w:t>; they are separated here by category to make it easier for users monitoring outcomes across different categories.</w:t>
      </w:r>
    </w:p>
    <w:p w:rsidR="002662A1" w:rsidP="002662A1" w:rsidRDefault="002662A1" w14:paraId="73E35E2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 w:eastAsiaTheme="majorEastAsia"/>
          <w:b/>
          <w:bCs/>
        </w:rPr>
      </w:pPr>
    </w:p>
    <w:p w:rsidR="00E20F76" w:rsidP="002662A1" w:rsidRDefault="00E20F76" w14:paraId="34F9F106" w14:textId="1F46A2E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 w:eastAsiaTheme="majorEastAsia"/>
        </w:rPr>
      </w:pPr>
      <w:r>
        <w:rPr>
          <w:rStyle w:val="normaltextrun"/>
          <w:rFonts w:ascii="Aptos" w:hAnsi="Aptos" w:cs="Segoe UI" w:eastAsiaTheme="majorEastAsia"/>
          <w:b/>
          <w:bCs/>
        </w:rPr>
        <w:t>GOOD PRACTICE FOR USING THIS TOOL</w:t>
      </w:r>
      <w:r>
        <w:rPr>
          <w:rStyle w:val="eop"/>
          <w:rFonts w:ascii="Aptos" w:hAnsi="Aptos" w:cs="Segoe UI" w:eastAsiaTheme="majorEastAsia"/>
        </w:rPr>
        <w:t> </w:t>
      </w:r>
    </w:p>
    <w:p w:rsidR="001500F1" w:rsidP="002662A1" w:rsidRDefault="00E20F76" w14:paraId="1DCE24B6" w14:textId="27103CD1">
      <w:pPr>
        <w:spacing w:after="0" w:line="240" w:lineRule="auto"/>
      </w:pPr>
      <w:r>
        <w:t xml:space="preserve">It is NOT expected that programs will use </w:t>
      </w:r>
      <w:proofErr w:type="gramStart"/>
      <w:r w:rsidRPr="00E20F76">
        <w:rPr>
          <w:i/>
          <w:iCs/>
        </w:rPr>
        <w:t>all</w:t>
      </w:r>
      <w:r>
        <w:t xml:space="preserve"> of</w:t>
      </w:r>
      <w:proofErr w:type="gramEnd"/>
      <w:r>
        <w:t xml:space="preserve"> these indicators – they are presented here as a menu from which to pick and </w:t>
      </w:r>
      <w:proofErr w:type="gramStart"/>
      <w:r>
        <w:t>choose, and</w:t>
      </w:r>
      <w:proofErr w:type="gramEnd"/>
      <w:r>
        <w:t xml:space="preserve"> adapt as relevant.</w:t>
      </w:r>
    </w:p>
    <w:p w:rsidR="002662A1" w:rsidP="002662A1" w:rsidRDefault="002662A1" w14:paraId="4AF22883" w14:textId="77777777">
      <w:pPr>
        <w:spacing w:after="0" w:line="240" w:lineRule="auto"/>
      </w:pPr>
    </w:p>
    <w:p w:rsidR="00E20F76" w:rsidP="002662A1" w:rsidRDefault="00E20F76" w14:paraId="1BBEFAB0" w14:textId="38C5E4E8">
      <w:pPr>
        <w:spacing w:after="0" w:line="240" w:lineRule="auto"/>
      </w:pPr>
      <w:r w:rsidR="00E20F76">
        <w:rPr/>
        <w:t>These indicators can also be adapted to fit any sector’s programming (i.e.: “</w:t>
      </w:r>
      <w:r w:rsidR="00E20F76">
        <w:rPr/>
        <w:t>% of women and girls who feel safe from GBV risk when accessing [SECTOR] services</w:t>
      </w:r>
      <w:r w:rsidR="00E20F76">
        <w:rPr/>
        <w:t xml:space="preserve">”). For </w:t>
      </w:r>
      <w:r w:rsidR="00E20F76">
        <w:rPr/>
        <w:t>additional</w:t>
      </w:r>
      <w:r w:rsidR="00E20F76">
        <w:rPr/>
        <w:t>, sector-specific indicators, please also see</w:t>
      </w:r>
      <w:r w:rsidR="3570D1AF">
        <w:rPr/>
        <w:t xml:space="preserve"> the </w:t>
      </w:r>
      <w:hyperlink r:id="Rb991c454fb8c4dc9">
        <w:r w:rsidRPr="1753FFB3" w:rsidR="3570D1AF">
          <w:rPr>
            <w:rStyle w:val="Hyperlink"/>
            <w:b w:val="1"/>
            <w:bCs w:val="1"/>
          </w:rPr>
          <w:t>sector-specific sample indicators</w:t>
        </w:r>
        <w:r w:rsidRPr="1753FFB3" w:rsidR="00E20F76">
          <w:rPr>
            <w:rStyle w:val="Hyperlink"/>
          </w:rPr>
          <w:t>.</w:t>
        </w:r>
      </w:hyperlink>
      <w:r w:rsidR="00E20F76">
        <w:rPr/>
        <w:t xml:space="preserve"> </w:t>
      </w:r>
    </w:p>
    <w:p w:rsidR="002662A1" w:rsidP="00E20F76" w:rsidRDefault="002662A1" w14:paraId="1F890FF5" w14:textId="77777777">
      <w:pPr>
        <w:spacing w:after="0" w:line="276" w:lineRule="auto"/>
        <w:rPr>
          <w:b/>
          <w:bCs/>
        </w:rPr>
      </w:pPr>
    </w:p>
    <w:p w:rsidRPr="00E20F76" w:rsidR="00E20F76" w:rsidP="770987CD" w:rsidRDefault="00E20F76" w14:paraId="2559E1C3" w14:textId="4E83560D">
      <w:pPr>
        <w:shd w:val="clear" w:color="auto" w:fill="E97132" w:themeFill="accent2"/>
        <w:spacing w:after="0" w:line="276" w:lineRule="auto"/>
        <w:rPr>
          <w:b w:val="1"/>
          <w:bCs w:val="1"/>
          <w:color w:val="FFFFFF" w:themeColor="background1" w:themeTint="FF" w:themeShade="FF"/>
        </w:rPr>
      </w:pPr>
      <w:r w:rsidRPr="770987CD" w:rsidR="00E20F76">
        <w:rPr>
          <w:b w:val="1"/>
          <w:bCs w:val="1"/>
          <w:color w:val="FFFFFF" w:themeColor="background1" w:themeTint="FF" w:themeShade="FF"/>
        </w:rPr>
        <w:t xml:space="preserve">SECTION 1: </w:t>
      </w:r>
    </w:p>
    <w:p w:rsidRPr="00E20F76" w:rsidR="001500F1" w:rsidP="770987CD" w:rsidRDefault="00E20F76" w14:paraId="5CC23E3B" w14:textId="5FD5BA53">
      <w:pPr>
        <w:shd w:val="clear" w:color="auto" w:fill="E97132" w:themeFill="accent2"/>
        <w:spacing w:after="0" w:line="276" w:lineRule="auto"/>
        <w:rPr>
          <w:b w:val="1"/>
          <w:bCs w:val="1"/>
          <w:color w:val="FFFFFF" w:themeColor="background1" w:themeTint="FF" w:themeShade="FF"/>
        </w:rPr>
      </w:pPr>
      <w:r w:rsidRPr="770987CD" w:rsidR="00E20F76">
        <w:rPr>
          <w:b w:val="1"/>
          <w:bCs w:val="1"/>
          <w:color w:val="FFFFFF" w:themeColor="background1" w:themeTint="FF" w:themeShade="FF"/>
        </w:rPr>
        <w:t>UNDERSTANDING PROGRAMMING INFLUENCE ACROSS 4 THEMES</w:t>
      </w:r>
    </w:p>
    <w:p w:rsidR="001500F1" w:rsidP="002662A1" w:rsidRDefault="001500F1" w14:paraId="2C52DE64" w14:textId="77777777">
      <w:pPr>
        <w:spacing w:after="0" w:line="240" w:lineRule="auto"/>
      </w:pPr>
    </w:p>
    <w:p w:rsidRPr="00E20F76" w:rsidR="003710D7" w:rsidP="770987CD" w:rsidRDefault="00E20F76" w14:paraId="2580711B" w14:textId="05E24853">
      <w:pPr>
        <w:shd w:val="clear" w:color="auto" w:fill="FAE2D5" w:themeFill="accent2" w:themeFillTint="33"/>
        <w:spacing w:after="0" w:line="240" w:lineRule="auto"/>
        <w:rPr>
          <w:b w:val="1"/>
          <w:bCs w:val="1"/>
          <w:u w:val="single"/>
        </w:rPr>
      </w:pPr>
      <w:r w:rsidRPr="770987CD" w:rsidR="00E20F76">
        <w:rPr>
          <w:b w:val="1"/>
          <w:bCs w:val="1"/>
          <w:u w:val="single"/>
        </w:rPr>
        <w:t xml:space="preserve">Theme 1: </w:t>
      </w:r>
      <w:r w:rsidRPr="770987CD" w:rsidR="003710D7">
        <w:rPr>
          <w:b w:val="1"/>
          <w:bCs w:val="1"/>
          <w:u w:val="single"/>
        </w:rPr>
        <w:t>MITIGATING VAWG RISKS</w:t>
      </w:r>
    </w:p>
    <w:p w:rsidR="002662A1" w:rsidP="002662A1" w:rsidRDefault="002662A1" w14:paraId="0D7C300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eastAsiaTheme="majorEastAsia"/>
          <w:i/>
          <w:iCs/>
          <w:color w:val="000000"/>
        </w:rPr>
      </w:pPr>
    </w:p>
    <w:p w:rsidRPr="002662A1" w:rsidR="00E20F76" w:rsidP="002662A1" w:rsidRDefault="00E20F76" w14:paraId="213E8AD4" w14:textId="4B6F72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eastAsiaTheme="majorEastAsia"/>
          <w:i/>
          <w:iCs/>
          <w:color w:val="000000"/>
        </w:rPr>
      </w:pP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>To measure the degree to which VAWG risk mitigation interventions are being integrated into sector programming:</w:t>
      </w:r>
    </w:p>
    <w:p w:rsidR="00E20F76" w:rsidP="002662A1" w:rsidRDefault="00E20F76" w14:paraId="4B0EE34C" w14:textId="77777777">
      <w:pPr>
        <w:spacing w:after="0" w:line="240" w:lineRule="auto"/>
      </w:pPr>
    </w:p>
    <w:p w:rsidR="00E20F76" w:rsidP="002662A1" w:rsidRDefault="00E20F76" w14:paraId="64FD91A8" w14:textId="0FB7D382">
      <w:pPr>
        <w:pStyle w:val="ListParagraph"/>
        <w:numPr>
          <w:ilvl w:val="0"/>
          <w:numId w:val="13"/>
        </w:numPr>
        <w:spacing w:after="0" w:line="240" w:lineRule="auto"/>
        <w:rPr/>
      </w:pPr>
      <w:r w:rsidR="00E20F76">
        <w:rPr/>
        <w:t xml:space="preserve">% facilities with meeting relevant GBV Guidelines sector-specific essential actions for safety, such as gender segregation, locks, lights, privacy, </w:t>
      </w:r>
      <w:r w:rsidR="00E20F76">
        <w:rPr/>
        <w:t>etc</w:t>
      </w:r>
      <w:r w:rsidR="00E20F76">
        <w:rPr/>
        <w:t>.</w:t>
      </w:r>
      <w:r w:rsidR="00E20F76">
        <w:rPr/>
        <w:t xml:space="preserve"> (see also sector-specific indicators)</w:t>
      </w:r>
    </w:p>
    <w:p w:rsidR="002662A1" w:rsidP="002662A1" w:rsidRDefault="002662A1" w14:paraId="5BE91547" w14:noSpellErr="1" w14:textId="0D47027D">
      <w:pPr>
        <w:pStyle w:val="ListParagraph"/>
        <w:numPr>
          <w:ilvl w:val="0"/>
          <w:numId w:val="13"/>
        </w:numPr>
        <w:spacing w:after="0" w:line="240" w:lineRule="auto"/>
        <w:rPr/>
      </w:pPr>
      <w:r w:rsidR="002662A1">
        <w:rPr/>
        <w:t xml:space="preserve">% of </w:t>
      </w:r>
      <w:r w:rsidR="002662A1">
        <w:rPr/>
        <w:t>identified</w:t>
      </w:r>
      <w:r w:rsidR="002662A1">
        <w:rPr/>
        <w:t xml:space="preserve"> safety risks (from</w:t>
      </w:r>
      <w:r w:rsidR="07B08F85">
        <w:rPr/>
        <w:t xml:space="preserve"> assessments, including</w:t>
      </w:r>
      <w:r w:rsidR="002662A1">
        <w:rPr/>
        <w:t xml:space="preserve"> </w:t>
      </w:r>
      <w:r w:rsidR="002662A1">
        <w:rPr/>
        <w:t>safety audits) address</w:t>
      </w:r>
      <w:r w:rsidR="002662A1">
        <w:rPr/>
        <w:t>ed</w:t>
      </w:r>
      <w:r w:rsidR="002662A1">
        <w:rPr/>
        <w:t xml:space="preserve"> within 3 months </w:t>
      </w:r>
    </w:p>
    <w:p w:rsidR="00E20F76" w:rsidP="002662A1" w:rsidRDefault="00E20F76" w14:paraId="5560686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eastAsiaTheme="majorEastAsia"/>
          <w:color w:val="000000"/>
        </w:rPr>
      </w:pPr>
    </w:p>
    <w:p w:rsidRPr="002662A1" w:rsidR="003710D7" w:rsidP="002662A1" w:rsidRDefault="00E20F76" w14:paraId="2B75B4E1" w14:textId="7760BD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eastAsiaTheme="majorEastAsia"/>
          <w:i/>
          <w:iCs/>
          <w:color w:val="000000"/>
        </w:rPr>
      </w:pP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>To measure c</w:t>
      </w:r>
      <w:r w:rsidRPr="002662A1" w:rsidR="003710D7">
        <w:rPr>
          <w:rStyle w:val="normaltextrun"/>
          <w:rFonts w:ascii="Aptos" w:hAnsi="Aptos" w:eastAsiaTheme="majorEastAsia"/>
          <w:i/>
          <w:iCs/>
          <w:color w:val="000000"/>
        </w:rPr>
        <w:t xml:space="preserve">hanges in safety and security risks for </w:t>
      </w:r>
      <w:proofErr w:type="gramStart"/>
      <w:r w:rsidRPr="002662A1" w:rsidR="003710D7">
        <w:rPr>
          <w:rStyle w:val="normaltextrun"/>
          <w:rFonts w:ascii="Aptos" w:hAnsi="Aptos" w:eastAsiaTheme="majorEastAsia"/>
          <w:i/>
          <w:iCs/>
          <w:color w:val="000000"/>
        </w:rPr>
        <w:t>particular groups</w:t>
      </w:r>
      <w:proofErr w:type="gramEnd"/>
      <w:r w:rsidRPr="002662A1" w:rsidR="003710D7">
        <w:rPr>
          <w:rStyle w:val="normaltextrun"/>
          <w:rFonts w:ascii="Aptos" w:hAnsi="Aptos" w:eastAsiaTheme="majorEastAsia"/>
          <w:i/>
          <w:iCs/>
          <w:color w:val="000000"/>
        </w:rPr>
        <w:t xml:space="preserve"> within the affected population around service delivery points</w:t>
      </w: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>:</w:t>
      </w:r>
    </w:p>
    <w:p w:rsidR="00E20F76" w:rsidP="002662A1" w:rsidRDefault="00E20F76" w14:paraId="06C814BD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</w:p>
    <w:p w:rsidR="003710D7" w:rsidP="002662A1" w:rsidRDefault="003710D7" w14:paraId="5DA8E2B2" w14:textId="1BB17FE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 w:eastAsiaTheme="majorEastAsia"/>
          <w:color w:val="000000"/>
        </w:rPr>
        <w:t># or % of community members reporting improved feelings of safety accessing humanitarian services/facilities (specific to your sector/intervention)</w:t>
      </w:r>
    </w:p>
    <w:p w:rsidR="003710D7" w:rsidP="002662A1" w:rsidRDefault="003710D7" w14:paraId="330DA107" w14:textId="560AAEB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ptos" w:hAnsi="Aptos"/>
        </w:rPr>
      </w:pPr>
      <w:r>
        <w:rPr>
          <w:rStyle w:val="normaltextrun"/>
          <w:rFonts w:ascii="Aptos" w:hAnsi="Aptos" w:eastAsiaTheme="majorEastAsia"/>
          <w:color w:val="000000"/>
        </w:rPr>
        <w:t># or % of community members reporting reduced barriers to accessing services</w:t>
      </w:r>
      <w:r w:rsidR="002662A1">
        <w:rPr>
          <w:rStyle w:val="normaltextrun"/>
          <w:rFonts w:ascii="Aptos" w:hAnsi="Aptos" w:eastAsiaTheme="majorEastAsia"/>
          <w:color w:val="000000"/>
        </w:rPr>
        <w:t>, disaggregated by type of barrier (physical, financial, bureaucratic/administrative, social, information)</w:t>
      </w:r>
    </w:p>
    <w:p w:rsidR="003710D7" w:rsidP="002662A1" w:rsidRDefault="003710D7" w14:paraId="2CE765A2" w14:textId="77777777">
      <w:pPr>
        <w:pStyle w:val="paragraph"/>
        <w:spacing w:before="0" w:beforeAutospacing="0" w:after="0" w:afterAutospacing="0"/>
        <w:ind w:left="720" w:hanging="360"/>
        <w:textAlignment w:val="baseline"/>
        <w:rPr>
          <w:rFonts w:ascii="Aptos" w:hAnsi="Aptos"/>
        </w:rPr>
      </w:pPr>
      <w:r>
        <w:rPr>
          <w:rStyle w:val="eop"/>
          <w:rFonts w:ascii="Aptos" w:hAnsi="Aptos" w:eastAsiaTheme="majorEastAsia"/>
          <w:color w:val="000000"/>
        </w:rPr>
        <w:t> </w:t>
      </w:r>
    </w:p>
    <w:p w:rsidRPr="002662A1" w:rsidR="003710D7" w:rsidP="002662A1" w:rsidRDefault="00E20F76" w14:paraId="4432B465" w14:textId="430BC3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eastAsiaTheme="majorEastAsia"/>
          <w:i/>
          <w:iCs/>
          <w:color w:val="000000"/>
        </w:rPr>
      </w:pP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>To measure c</w:t>
      </w:r>
      <w:r w:rsidRPr="002662A1" w:rsidR="003710D7">
        <w:rPr>
          <w:rStyle w:val="normaltextrun"/>
          <w:rFonts w:ascii="Aptos" w:hAnsi="Aptos" w:eastAsiaTheme="majorEastAsia"/>
          <w:i/>
          <w:iCs/>
          <w:color w:val="000000"/>
        </w:rPr>
        <w:t xml:space="preserve">ommunity feedback on perceived </w:t>
      </w: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 xml:space="preserve">risks of </w:t>
      </w:r>
      <w:r w:rsidRPr="002662A1" w:rsidR="003710D7">
        <w:rPr>
          <w:rStyle w:val="normaltextrun"/>
          <w:rFonts w:ascii="Aptos" w:hAnsi="Aptos" w:eastAsiaTheme="majorEastAsia"/>
          <w:i/>
          <w:iCs/>
          <w:color w:val="000000"/>
        </w:rPr>
        <w:t>VAWG</w:t>
      </w: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>:</w:t>
      </w:r>
    </w:p>
    <w:p w:rsidR="00E20F76" w:rsidP="002662A1" w:rsidRDefault="00E20F76" w14:paraId="48005CD9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</w:p>
    <w:p w:rsidR="003710D7" w:rsidP="1291D803" w:rsidRDefault="00E20F76" w14:noSpellErr="1" w14:paraId="53530315" w14:textId="0592EA83">
      <w:pPr>
        <w:pStyle w:val="paragraph"/>
        <w:numPr>
          <w:ilvl w:val="2"/>
          <w:numId w:val="10"/>
        </w:numPr>
        <w:spacing w:before="0" w:beforeAutospacing="off" w:after="0" w:afterAutospacing="off"/>
        <w:textAlignment w:val="baseline"/>
        <w:rPr>
          <w:rFonts w:ascii="Aptos" w:hAnsi="Aptos"/>
        </w:rPr>
      </w:pPr>
      <w:r w:rsidRPr="1291D803" w:rsidR="0E871D22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% of [SECTOR] assessments that include VAWG risk-related questions from this toolkit and/or from the IASC GBV </w:t>
      </w:r>
      <w:r w:rsidRPr="1291D803" w:rsidR="0E871D22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Guidelines</w:t>
      </w:r>
    </w:p>
    <w:p w:rsidR="003710D7" w:rsidP="770987CD" w:rsidRDefault="00E20F76" w14:paraId="683F5789" w14:textId="26D66F42">
      <w:pPr>
        <w:pStyle w:val="paragraph"/>
        <w:numPr>
          <w:ilvl w:val="2"/>
          <w:numId w:val="10"/>
        </w:numPr>
        <w:spacing w:before="0" w:beforeAutospacing="off" w:after="0" w:afterAutospacing="off"/>
        <w:textAlignment w:val="baseline"/>
        <w:rPr>
          <w:rFonts w:ascii="Aptos" w:hAnsi="Aptos"/>
          <w:i w:val="1"/>
          <w:iCs w:val="1"/>
        </w:rPr>
      </w:pPr>
      <w:r w:rsidRPr="770987CD" w:rsidR="00E20F76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Refer</w:t>
      </w:r>
      <w:r w:rsidRPr="770987CD" w:rsidR="00E20F76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 to </w:t>
      </w:r>
      <w:r w:rsidRPr="770987CD" w:rsidR="00E20F76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s</w:t>
      </w:r>
      <w:r w:rsidRPr="770987CD" w:rsidR="003710D7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afety audit</w:t>
      </w:r>
      <w:r w:rsidRPr="770987CD" w:rsidR="16089913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*</w:t>
      </w:r>
      <w:r w:rsidRPr="770987CD" w:rsidR="003710D7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 </w:t>
      </w:r>
      <w:r w:rsidRPr="770987CD" w:rsidR="003710D7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and/or</w:t>
      </w:r>
      <w:r w:rsidRPr="770987CD" w:rsidR="19CCB5C5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 </w:t>
      </w:r>
      <w:r w:rsidRPr="770987CD" w:rsidR="003710D7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findings</w:t>
      </w:r>
      <w:r w:rsidRPr="770987CD" w:rsidR="52D20A47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 from Focus Group Discussions on </w:t>
      </w:r>
      <w:hyperlink r:id="R5c9767eafd744a7f">
        <w:r w:rsidRPr="770987CD" w:rsidR="52D20A47">
          <w:rPr>
            <w:rStyle w:val="Hyperlink"/>
            <w:rFonts w:ascii="Aptos" w:hAnsi="Aptos" w:eastAsia="" w:eastAsiaTheme="majorEastAsia"/>
          </w:rPr>
          <w:t>safety perceptions</w:t>
        </w:r>
      </w:hyperlink>
      <w:r w:rsidRPr="770987CD" w:rsidR="52D20A47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 or </w:t>
      </w:r>
      <w:hyperlink r:id="R6f33f0350f4842a2">
        <w:r w:rsidRPr="770987CD" w:rsidR="52D20A47">
          <w:rPr>
            <w:rStyle w:val="Hyperlink"/>
            <w:rFonts w:ascii="Aptos" w:hAnsi="Aptos" w:eastAsia="" w:eastAsiaTheme="majorEastAsia"/>
          </w:rPr>
          <w:t>barriers to access</w:t>
        </w:r>
      </w:hyperlink>
      <w:r w:rsidRPr="770987CD" w:rsidR="71161F77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 </w:t>
      </w:r>
      <w:r w:rsidRPr="770987CD" w:rsidR="71161F77">
        <w:rPr>
          <w:rStyle w:val="normaltextrun"/>
          <w:rFonts w:ascii="Aptos" w:hAnsi="Aptos" w:eastAsia="" w:eastAsiaTheme="majorEastAsia"/>
          <w:i w:val="1"/>
          <w:iCs w:val="1"/>
          <w:color w:val="000000" w:themeColor="text1" w:themeTint="FF" w:themeShade="FF"/>
        </w:rPr>
        <w:t>[</w:t>
      </w:r>
      <w:r w:rsidRPr="770987CD" w:rsidR="77628CE9">
        <w:rPr>
          <w:rStyle w:val="normaltextrun"/>
          <w:rFonts w:ascii="Aptos" w:hAnsi="Aptos" w:eastAsia="" w:eastAsiaTheme="majorEastAsia"/>
          <w:i w:val="1"/>
          <w:iCs w:val="1"/>
          <w:color w:val="000000" w:themeColor="text1" w:themeTint="FF" w:themeShade="FF"/>
        </w:rPr>
        <w:t>*</w:t>
      </w:r>
      <w:r w:rsidRPr="770987CD" w:rsidR="71161F77">
        <w:rPr>
          <w:rStyle w:val="normaltextrun"/>
          <w:rFonts w:ascii="Aptos" w:hAnsi="Aptos" w:eastAsia="" w:eastAsiaTheme="majorEastAsia"/>
          <w:i w:val="1"/>
          <w:iCs w:val="1"/>
          <w:color w:val="000000" w:themeColor="text1" w:themeTint="FF" w:themeShade="FF"/>
        </w:rPr>
        <w:t>NOTE: sector-specific safety audit templates can be found in the online version of this Toolkit]</w:t>
      </w:r>
    </w:p>
    <w:p w:rsidR="003710D7" w:rsidP="002662A1" w:rsidRDefault="003710D7" w14:paraId="610E2298" w14:textId="77777777">
      <w:pPr>
        <w:pStyle w:val="paragraph"/>
        <w:spacing w:before="0" w:beforeAutospacing="0" w:after="0" w:afterAutospacing="0"/>
        <w:ind w:left="720" w:hanging="360"/>
        <w:textAlignment w:val="baseline"/>
        <w:rPr>
          <w:rFonts w:ascii="Aptos" w:hAnsi="Aptos"/>
        </w:rPr>
      </w:pPr>
      <w:r>
        <w:rPr>
          <w:rStyle w:val="eop"/>
          <w:rFonts w:ascii="Aptos" w:hAnsi="Aptos" w:eastAsiaTheme="majorEastAsia"/>
          <w:color w:val="000000"/>
        </w:rPr>
        <w:t> </w:t>
      </w:r>
    </w:p>
    <w:p w:rsidRPr="002662A1" w:rsidR="003710D7" w:rsidP="002662A1" w:rsidRDefault="00E20F76" w14:paraId="76521CC6" w14:textId="2E0284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eastAsiaTheme="majorEastAsia"/>
          <w:i/>
          <w:iCs/>
          <w:color w:val="000000"/>
        </w:rPr>
      </w:pP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>To measure the degree to which programs have succeeded in i</w:t>
      </w:r>
      <w:r w:rsidRPr="002662A1" w:rsidR="003710D7">
        <w:rPr>
          <w:rStyle w:val="normaltextrun"/>
          <w:rFonts w:ascii="Aptos" w:hAnsi="Aptos" w:eastAsiaTheme="majorEastAsia"/>
          <w:i/>
          <w:iCs/>
          <w:color w:val="000000"/>
        </w:rPr>
        <w:t>mplement</w:t>
      </w: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>ing</w:t>
      </w:r>
      <w:r w:rsidRPr="002662A1" w:rsidR="003710D7">
        <w:rPr>
          <w:rStyle w:val="normaltextrun"/>
          <w:rFonts w:ascii="Aptos" w:hAnsi="Aptos" w:eastAsiaTheme="majorEastAsia"/>
          <w:i/>
          <w:iCs/>
          <w:color w:val="000000"/>
        </w:rPr>
        <w:t xml:space="preserve"> </w:t>
      </w: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>women, girls and other vulnerable groups</w:t>
      </w: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>’</w:t>
      </w:r>
      <w:r w:rsidRPr="002662A1" w:rsidR="003710D7">
        <w:rPr>
          <w:rStyle w:val="normaltextrun"/>
          <w:rFonts w:ascii="Aptos" w:hAnsi="Aptos" w:eastAsiaTheme="majorEastAsia"/>
          <w:i/>
          <w:iCs/>
          <w:color w:val="000000"/>
        </w:rPr>
        <w:t xml:space="preserve"> preferred design</w:t>
      </w: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 xml:space="preserve"> of </w:t>
      </w:r>
      <w:r w:rsidRPr="002662A1" w:rsidR="003710D7">
        <w:rPr>
          <w:rStyle w:val="normaltextrun"/>
          <w:rFonts w:ascii="Aptos" w:hAnsi="Aptos" w:eastAsiaTheme="majorEastAsia"/>
          <w:i/>
          <w:iCs/>
          <w:color w:val="000000"/>
        </w:rPr>
        <w:t>in facilities/services</w:t>
      </w: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>:</w:t>
      </w:r>
    </w:p>
    <w:p w:rsidR="00E20F76" w:rsidP="002662A1" w:rsidRDefault="00E20F76" w14:paraId="53B826C4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</w:p>
    <w:p w:rsidR="003710D7" w:rsidP="1291D803" w:rsidRDefault="003710D7" w14:paraId="4726C5ED" w14:textId="75913E22" w14:noSpellErr="1">
      <w:pPr>
        <w:pStyle w:val="paragraph"/>
        <w:numPr>
          <w:ilvl w:val="2"/>
          <w:numId w:val="12"/>
        </w:numPr>
        <w:spacing w:before="0" w:beforeAutospacing="off" w:after="0" w:afterAutospacing="off"/>
        <w:ind w:left="720"/>
        <w:textAlignment w:val="baseline"/>
        <w:rPr>
          <w:rFonts w:ascii="Aptos" w:hAnsi="Aptos"/>
        </w:rPr>
      </w:pPr>
      <w:r w:rsidRPr="1291D803" w:rsidR="003710D7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# or % of facilities </w:t>
      </w:r>
      <w:r w:rsidRPr="1291D803" w:rsidR="003710D7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established</w:t>
      </w:r>
      <w:r w:rsidRPr="1291D803" w:rsidR="003710D7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 in consultation with women and girls</w:t>
      </w:r>
    </w:p>
    <w:p w:rsidR="5733EA8B" w:rsidP="1291D803" w:rsidRDefault="5733EA8B" w14:paraId="321A76E8" w14:textId="6A5426FB">
      <w:pPr>
        <w:pStyle w:val="paragraph"/>
        <w:numPr>
          <w:ilvl w:val="2"/>
          <w:numId w:val="12"/>
        </w:numPr>
        <w:spacing w:before="0" w:beforeAutospacing="off" w:after="0" w:afterAutospacing="off"/>
        <w:ind w:left="720"/>
        <w:rPr>
          <w:rFonts w:ascii="Aptos" w:hAnsi="Aptos"/>
        </w:rPr>
      </w:pPr>
      <w:r w:rsidRPr="1291D803" w:rsidR="5733EA8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# of % of participants in [SECTOR] management or </w:t>
      </w:r>
      <w:r w:rsidRPr="1291D803" w:rsidR="5733EA8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other</w:t>
      </w:r>
      <w:r w:rsidRPr="1291D803" w:rsidR="5733EA8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relevant committee/working group, etc. who are female</w:t>
      </w:r>
    </w:p>
    <w:p w:rsidR="5733EA8B" w:rsidP="1291D803" w:rsidRDefault="5733EA8B" w14:paraId="692B1460" w14:textId="30FD5AF3">
      <w:pPr>
        <w:pStyle w:val="ListParagraph"/>
        <w:numPr>
          <w:ilvl w:val="2"/>
          <w:numId w:val="12"/>
        </w:numPr>
        <w:spacing w:before="0" w:beforeAutospacing="off" w:after="0" w:afterAutospacing="off"/>
        <w:ind w:left="720" w:right="0" w:hanging="36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1291D803" w:rsidR="5733EA8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Satisfaction</w:t>
      </w:r>
      <w:r w:rsidRPr="1291D803" w:rsidR="5733EA8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of female participants with their participation in [SECTOR] management or </w:t>
      </w:r>
      <w:r w:rsidRPr="1291D803" w:rsidR="5733EA8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other</w:t>
      </w:r>
      <w:r w:rsidRPr="1291D803" w:rsidR="5733EA8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relevant committee/working group, etc.</w:t>
      </w:r>
    </w:p>
    <w:p w:rsidRPr="00E20F76" w:rsidR="00E20F76" w:rsidP="002662A1" w:rsidRDefault="00E20F76" w14:paraId="5D00F62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</w:rPr>
      </w:pPr>
    </w:p>
    <w:p w:rsidRPr="002662A1" w:rsidR="003710D7" w:rsidP="002662A1" w:rsidRDefault="00E20F76" w14:paraId="3583E173" w14:textId="60F4D50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eastAsiaTheme="majorEastAsia"/>
          <w:i/>
          <w:iCs/>
          <w:color w:val="000000"/>
        </w:rPr>
      </w:pPr>
      <w:r w:rsidRPr="002662A1">
        <w:rPr>
          <w:rStyle w:val="normaltextrun"/>
          <w:rFonts w:ascii="Aptos" w:hAnsi="Aptos" w:eastAsiaTheme="majorEastAsia"/>
          <w:i/>
          <w:iCs/>
          <w:color w:val="000000"/>
        </w:rPr>
        <w:t>To measure p</w:t>
      </w:r>
      <w:r w:rsidRPr="002662A1" w:rsidR="003710D7">
        <w:rPr>
          <w:rStyle w:val="normaltextrun"/>
          <w:rFonts w:ascii="Aptos" w:hAnsi="Aptos" w:eastAsiaTheme="majorEastAsia"/>
          <w:i/>
          <w:iCs/>
          <w:color w:val="000000"/>
        </w:rPr>
        <w:t>articipation rates of different gender, age and vulnerability groups</w:t>
      </w:r>
      <w:r w:rsidR="002662A1">
        <w:rPr>
          <w:rStyle w:val="normaltextrun"/>
          <w:rFonts w:ascii="Aptos" w:hAnsi="Aptos" w:eastAsiaTheme="majorEastAsia"/>
          <w:i/>
          <w:iCs/>
          <w:color w:val="000000"/>
        </w:rPr>
        <w:t>:</w:t>
      </w:r>
    </w:p>
    <w:p w:rsidR="002662A1" w:rsidP="002662A1" w:rsidRDefault="002662A1" w14:paraId="33BD3E88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/>
        </w:rPr>
      </w:pPr>
    </w:p>
    <w:p w:rsidR="003710D7" w:rsidP="002662A1" w:rsidRDefault="003710D7" w14:paraId="1F6CD624" w14:textId="600994F6">
      <w:pPr>
        <w:pStyle w:val="paragraph"/>
        <w:numPr>
          <w:ilvl w:val="2"/>
          <w:numId w:val="12"/>
        </w:numPr>
        <w:spacing w:before="0" w:beforeAutospacing="0" w:after="0" w:afterAutospacing="0"/>
        <w:ind w:left="720"/>
        <w:textAlignment w:val="baseline"/>
        <w:rPr>
          <w:rFonts w:ascii="Aptos" w:hAnsi="Aptos"/>
        </w:rPr>
      </w:pPr>
      <w:r>
        <w:rPr>
          <w:rStyle w:val="normaltextrun"/>
          <w:rFonts w:ascii="Aptos" w:hAnsi="Aptos" w:eastAsiaTheme="majorEastAsia"/>
          <w:color w:val="000000"/>
        </w:rPr>
        <w:t>Collect and disaggregate service delivery /programmatic reach data</w:t>
      </w:r>
    </w:p>
    <w:p w:rsidR="003710D7" w:rsidP="002662A1" w:rsidRDefault="003710D7" w14:paraId="29A37049" w14:textId="77777777">
      <w:pPr>
        <w:spacing w:after="0" w:line="240" w:lineRule="auto"/>
      </w:pPr>
    </w:p>
    <w:p w:rsidRPr="00E20F76" w:rsidR="003710D7" w:rsidP="770987CD" w:rsidRDefault="00E20F76" w14:paraId="6FF65165" w14:textId="2BF02939">
      <w:pPr>
        <w:shd w:val="clear" w:color="auto" w:fill="FAE2D5" w:themeFill="accent2" w:themeFillTint="33"/>
        <w:rPr>
          <w:b w:val="1"/>
          <w:bCs w:val="1"/>
          <w:u w:val="single"/>
        </w:rPr>
      </w:pPr>
      <w:r w:rsidRPr="770987CD" w:rsidR="00E20F76">
        <w:rPr>
          <w:b w:val="1"/>
          <w:bCs w:val="1"/>
          <w:u w:val="single"/>
        </w:rPr>
        <w:t xml:space="preserve">Theme 2: </w:t>
      </w:r>
      <w:r w:rsidRPr="770987CD" w:rsidR="003710D7">
        <w:rPr>
          <w:b w:val="1"/>
          <w:bCs w:val="1"/>
          <w:u w:val="single"/>
        </w:rPr>
        <w:t>ENHANCING FEELINGS OF SAFETY AND WELL BEING</w:t>
      </w:r>
    </w:p>
    <w:p w:rsidRPr="002662A1" w:rsidR="003710D7" w:rsidP="003710D7" w:rsidRDefault="003710D7" w14:paraId="1CE20A98" w14:textId="4F7C43A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 w:eastAsiaTheme="majorEastAsia"/>
          <w:i/>
          <w:iCs/>
          <w:color w:val="000000"/>
        </w:rPr>
      </w:pPr>
      <w:r w:rsidRPr="002662A1">
        <w:rPr>
          <w:rStyle w:val="normaltextrun"/>
          <w:rFonts w:ascii="Aptos" w:hAnsi="Aptos" w:cs="Segoe UI" w:eastAsiaTheme="majorEastAsia"/>
          <w:i/>
          <w:iCs/>
          <w:color w:val="000000"/>
        </w:rPr>
        <w:t xml:space="preserve">Sample indicators for </w:t>
      </w:r>
      <w:r w:rsidRPr="002662A1" w:rsidR="00E20F76">
        <w:rPr>
          <w:rStyle w:val="normaltextrun"/>
          <w:rFonts w:ascii="Aptos" w:hAnsi="Aptos" w:cs="Segoe UI" w:eastAsiaTheme="majorEastAsia"/>
          <w:i/>
          <w:iCs/>
          <w:color w:val="000000"/>
        </w:rPr>
        <w:t xml:space="preserve">measure changes in </w:t>
      </w:r>
      <w:r w:rsidRPr="002662A1">
        <w:rPr>
          <w:rStyle w:val="normaltextrun"/>
          <w:rFonts w:ascii="Aptos" w:hAnsi="Aptos" w:cs="Segoe UI" w:eastAsiaTheme="majorEastAsia"/>
          <w:i/>
          <w:iCs/>
          <w:color w:val="000000"/>
        </w:rPr>
        <w:t>safety perceptions include:</w:t>
      </w:r>
      <w:r w:rsidRPr="002662A1">
        <w:rPr>
          <w:rStyle w:val="eop"/>
          <w:rFonts w:ascii="Aptos" w:hAnsi="Aptos" w:cs="Segoe UI" w:eastAsiaTheme="majorEastAsia"/>
          <w:i/>
          <w:iCs/>
          <w:color w:val="000000"/>
        </w:rPr>
        <w:t> </w:t>
      </w:r>
    </w:p>
    <w:p w:rsidRPr="00E20F76" w:rsidR="00E20F76" w:rsidP="003710D7" w:rsidRDefault="00E20F76" w14:paraId="22EF6B9F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:rsidRPr="00E20F76" w:rsidR="003710D7" w:rsidP="002662A1" w:rsidRDefault="003710D7" w14:paraId="26BD1F2B" w14:textId="213E9392">
      <w:pPr>
        <w:pStyle w:val="paragraph"/>
        <w:numPr>
          <w:ilvl w:val="2"/>
          <w:numId w:val="12"/>
        </w:numPr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E20F76">
        <w:rPr>
          <w:rStyle w:val="normaltextrun"/>
          <w:rFonts w:ascii="Aptos" w:hAnsi="Aptos" w:cs="Segoe UI" w:eastAsiaTheme="majorEastAsia"/>
          <w:color w:val="000000"/>
        </w:rPr>
        <w:t># or % of community members reporting improved feelings of safety accessing humanitarian services/facilities (specific to your sector/intervention)</w:t>
      </w:r>
      <w:r w:rsidR="002662A1">
        <w:rPr>
          <w:rStyle w:val="normaltextrun"/>
          <w:rFonts w:ascii="Aptos" w:hAnsi="Aptos" w:cs="Segoe UI" w:eastAsiaTheme="majorEastAsia"/>
          <w:color w:val="000000"/>
        </w:rPr>
        <w:t>, disaggregated by gender, age, disability, etc.</w:t>
      </w:r>
      <w:r w:rsidRPr="00E20F76">
        <w:rPr>
          <w:rStyle w:val="eop"/>
          <w:rFonts w:ascii="Aptos" w:hAnsi="Aptos" w:cs="Segoe UI" w:eastAsiaTheme="majorEastAsia"/>
          <w:color w:val="000000"/>
        </w:rPr>
        <w:t> </w:t>
      </w:r>
    </w:p>
    <w:p w:rsidRPr="00E20F76" w:rsidR="003710D7" w:rsidP="002662A1" w:rsidRDefault="003710D7" w14:paraId="40618612" w14:textId="63BDBF18">
      <w:pPr>
        <w:pStyle w:val="paragraph"/>
        <w:numPr>
          <w:ilvl w:val="2"/>
          <w:numId w:val="12"/>
        </w:numPr>
        <w:spacing w:before="0" w:beforeAutospacing="0" w:after="0" w:afterAutospacing="0"/>
        <w:ind w:left="720"/>
        <w:textAlignment w:val="baseline"/>
        <w:rPr>
          <w:rFonts w:ascii="Segoe UI" w:hAnsi="Segoe UI" w:cs="Segoe UI"/>
        </w:rPr>
      </w:pPr>
      <w:r w:rsidRPr="00E20F76">
        <w:rPr>
          <w:rStyle w:val="normaltextrun"/>
          <w:rFonts w:ascii="Aptos" w:hAnsi="Aptos" w:cs="Segoe UI" w:eastAsiaTheme="majorEastAsia"/>
          <w:color w:val="000000"/>
        </w:rPr>
        <w:t># or % of community members reporting reduced barriers to accessing services</w:t>
      </w:r>
      <w:r w:rsidR="002662A1">
        <w:rPr>
          <w:rStyle w:val="normaltextrun"/>
          <w:rFonts w:ascii="Aptos" w:hAnsi="Aptos" w:cs="Segoe UI" w:eastAsiaTheme="majorEastAsia"/>
          <w:color w:val="000000"/>
        </w:rPr>
        <w:t>, disaggregated by type of barrier (physical, financial, bureaucratic/administrative, social, information)</w:t>
      </w:r>
      <w:r w:rsidRPr="00E20F76">
        <w:rPr>
          <w:rStyle w:val="eop"/>
          <w:rFonts w:ascii="Aptos" w:hAnsi="Aptos" w:cs="Segoe UI" w:eastAsiaTheme="majorEastAsia"/>
          <w:color w:val="000000"/>
        </w:rPr>
        <w:t> </w:t>
      </w:r>
    </w:p>
    <w:p w:rsidR="003710D7" w:rsidP="01613F8A" w:rsidRDefault="003710D7" w14:noSpellErr="1" w14:paraId="3AE67ED9" w14:textId="083895A8">
      <w:pPr>
        <w:pStyle w:val="paragraph"/>
        <w:numPr>
          <w:ilvl w:val="2"/>
          <w:numId w:val="12"/>
        </w:numPr>
        <w:spacing w:before="0" w:beforeAutospacing="off" w:after="0" w:afterAutospacing="off"/>
        <w:ind w:left="720"/>
        <w:rPr>
          <w:rFonts w:ascii="Segoe UI" w:hAnsi="Segoe UI" w:cs="Segoe UI"/>
        </w:rPr>
      </w:pPr>
      <w:r w:rsidRPr="01613F8A" w:rsidR="003710D7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 xml:space="preserve"># or % of facilities </w:t>
      </w:r>
      <w:r w:rsidRPr="01613F8A" w:rsidR="003710D7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>established</w:t>
      </w:r>
      <w:r w:rsidRPr="01613F8A" w:rsidR="003710D7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 xml:space="preserve"> in consultation with women and girls</w:t>
      </w:r>
      <w:r w:rsidRPr="01613F8A" w:rsidR="003710D7">
        <w:rPr>
          <w:rStyle w:val="eop"/>
          <w:rFonts w:ascii="Aptos" w:hAnsi="Aptos" w:eastAsia="" w:cs="Segoe UI" w:eastAsiaTheme="majorEastAsia"/>
          <w:color w:val="000000" w:themeColor="text1" w:themeTint="FF" w:themeShade="FF"/>
        </w:rPr>
        <w:t> </w:t>
      </w:r>
    </w:p>
    <w:p w:rsidRPr="00E20F76" w:rsidR="00C65A6F" w:rsidP="002662A1" w:rsidRDefault="00C65A6F" w14:paraId="2DFF2A1B" w14:textId="70D39B3C">
      <w:pPr>
        <w:pStyle w:val="ListParagraph"/>
        <w:numPr>
          <w:ilvl w:val="2"/>
          <w:numId w:val="12"/>
        </w:numPr>
        <w:spacing w:after="0" w:line="240" w:lineRule="auto"/>
        <w:ind w:left="720"/>
      </w:pPr>
      <w:r w:rsidRPr="00E20F76">
        <w:t xml:space="preserve">% of women and girls who feel safe when accessing </w:t>
      </w:r>
      <w:r w:rsidRPr="00E20F76">
        <w:t>[SECTOR]</w:t>
      </w:r>
      <w:r w:rsidRPr="00E20F76">
        <w:t xml:space="preserve"> services </w:t>
      </w:r>
    </w:p>
    <w:p w:rsidRPr="00E20F76" w:rsidR="00C65A6F" w:rsidP="002662A1" w:rsidRDefault="00C65A6F" w14:paraId="442B84CF" w14:textId="32B60A08">
      <w:pPr>
        <w:pStyle w:val="ListParagraph"/>
        <w:numPr>
          <w:ilvl w:val="2"/>
          <w:numId w:val="12"/>
        </w:numPr>
        <w:spacing w:after="0" w:line="240" w:lineRule="auto"/>
        <w:ind w:left="720"/>
      </w:pPr>
      <w:r w:rsidRPr="00E20F76">
        <w:t xml:space="preserve">% of women and girls who feel safe from GBV risk when accessing </w:t>
      </w:r>
      <w:r w:rsidRPr="00E20F76">
        <w:t>[SECTOR]</w:t>
      </w:r>
      <w:r w:rsidRPr="00E20F76">
        <w:t xml:space="preserve"> services </w:t>
      </w:r>
    </w:p>
    <w:p w:rsidRPr="00E20F76" w:rsidR="003710D7" w:rsidP="002662A1" w:rsidRDefault="00C65A6F" w14:paraId="4B084C98" w14:textId="2D3889DD">
      <w:pPr>
        <w:pStyle w:val="ListParagraph"/>
        <w:numPr>
          <w:ilvl w:val="2"/>
          <w:numId w:val="12"/>
        </w:numPr>
        <w:spacing w:after="0" w:line="240" w:lineRule="auto"/>
        <w:ind w:left="720"/>
      </w:pPr>
      <w:r w:rsidRPr="00E20F76">
        <w:t xml:space="preserve">% of women and girls who report [specific safety concern] when accessing </w:t>
      </w:r>
      <w:r w:rsidRPr="00E20F76">
        <w:t>[SECTOR]</w:t>
      </w:r>
      <w:r w:rsidRPr="00E20F76">
        <w:t xml:space="preserve"> services</w:t>
      </w:r>
    </w:p>
    <w:p w:rsidRPr="00E20F76" w:rsidR="003710D7" w:rsidP="002662A1" w:rsidRDefault="00C65A6F" w14:paraId="7F946DF6" w14:textId="7AD85C54">
      <w:pPr>
        <w:pStyle w:val="ListParagraph"/>
        <w:numPr>
          <w:ilvl w:val="2"/>
          <w:numId w:val="12"/>
        </w:numPr>
        <w:spacing w:after="0" w:line="240" w:lineRule="auto"/>
        <w:ind w:left="720"/>
      </w:pPr>
      <w:r w:rsidRPr="00E20F76">
        <w:lastRenderedPageBreak/>
        <w:t xml:space="preserve">% of </w:t>
      </w:r>
      <w:r w:rsidRPr="00E20F76">
        <w:t xml:space="preserve">[SECTOR] </w:t>
      </w:r>
      <w:r w:rsidRPr="00E20F76">
        <w:rPr>
          <w:b/>
          <w:bCs/>
        </w:rPr>
        <w:t>staff</w:t>
      </w:r>
      <w:r w:rsidRPr="00E20F76">
        <w:t xml:space="preserve"> who report GBV risk level in accessing </w:t>
      </w:r>
      <w:r w:rsidRPr="00E20F76">
        <w:t xml:space="preserve">[SECTOR] </w:t>
      </w:r>
      <w:r w:rsidRPr="00E20F76">
        <w:t>services is moderate or high</w:t>
      </w:r>
    </w:p>
    <w:p w:rsidRPr="00E20F76" w:rsidR="00C65A6F" w:rsidP="002662A1" w:rsidRDefault="00C65A6F" w14:paraId="11E91103" w14:textId="4897F177">
      <w:pPr>
        <w:pStyle w:val="ListParagraph"/>
        <w:numPr>
          <w:ilvl w:val="2"/>
          <w:numId w:val="12"/>
        </w:numPr>
        <w:spacing w:after="0" w:line="240" w:lineRule="auto"/>
        <w:ind w:left="720"/>
      </w:pPr>
      <w:r w:rsidRPr="00E20F76">
        <w:t xml:space="preserve">% of women and girls who reported that their privacy was ensured at </w:t>
      </w:r>
      <w:r w:rsidRPr="00E20F76">
        <w:t xml:space="preserve">X </w:t>
      </w:r>
      <w:r w:rsidRPr="00E20F76">
        <w:t>service/facility/program</w:t>
      </w:r>
    </w:p>
    <w:p w:rsidR="002662A1" w:rsidP="002662A1" w:rsidRDefault="00C65A6F" w14:paraId="75FD605B" w14:textId="77777777">
      <w:pPr>
        <w:pStyle w:val="ListParagraph"/>
        <w:numPr>
          <w:ilvl w:val="2"/>
          <w:numId w:val="12"/>
        </w:numPr>
        <w:spacing w:after="0" w:line="240" w:lineRule="auto"/>
        <w:ind w:left="720"/>
      </w:pPr>
      <w:r w:rsidRPr="00E20F76">
        <w:t xml:space="preserve">% of women and girls who report they are satisfied or very satisfied with </w:t>
      </w:r>
      <w:r w:rsidRPr="00E20F76">
        <w:t>[SECTOR]</w:t>
      </w:r>
      <w:r w:rsidRPr="00E20F76">
        <w:t xml:space="preserve"> services </w:t>
      </w:r>
    </w:p>
    <w:p w:rsidRPr="00E20F76" w:rsidR="00C65A6F" w:rsidP="002662A1" w:rsidRDefault="00C65A6F" w14:paraId="49E5B454" w14:textId="4890CC60">
      <w:pPr>
        <w:pStyle w:val="ListParagraph"/>
        <w:numPr>
          <w:ilvl w:val="2"/>
          <w:numId w:val="12"/>
        </w:numPr>
        <w:spacing w:after="0" w:line="240" w:lineRule="auto"/>
        <w:ind w:left="720"/>
      </w:pPr>
      <w:r w:rsidRPr="00E20F76">
        <w:t xml:space="preserve">% of women and girls who report that </w:t>
      </w:r>
      <w:r w:rsidRPr="00E20F76">
        <w:t>facilities/</w:t>
      </w:r>
      <w:r w:rsidRPr="00E20F76">
        <w:t>services</w:t>
      </w:r>
      <w:r w:rsidRPr="00E20F76">
        <w:t xml:space="preserve">/programming </w:t>
      </w:r>
      <w:r w:rsidRPr="00E20F76">
        <w:t xml:space="preserve">offered fit their needs </w:t>
      </w:r>
    </w:p>
    <w:p w:rsidRPr="00E20F76" w:rsidR="003710D7" w:rsidP="002662A1" w:rsidRDefault="00C65A6F" w14:paraId="756F9806" w14:noSpellErr="1" w14:textId="638223D2">
      <w:pPr>
        <w:pStyle w:val="ListParagraph"/>
        <w:numPr>
          <w:ilvl w:val="2"/>
          <w:numId w:val="12"/>
        </w:numPr>
        <w:spacing w:after="0" w:line="240" w:lineRule="auto"/>
        <w:ind w:left="720"/>
        <w:rPr/>
      </w:pPr>
      <w:r w:rsidR="00C65A6F">
        <w:rPr/>
        <w:t xml:space="preserve">% of women and girls who report female staff are available at [SECTOR] </w:t>
      </w:r>
      <w:r w:rsidR="00C65A6F">
        <w:rPr/>
        <w:t xml:space="preserve">facilities/services </w:t>
      </w:r>
      <w:r w:rsidR="00C65A6F">
        <w:rPr/>
        <w:t xml:space="preserve">most of the time or </w:t>
      </w:r>
      <w:r w:rsidR="00C65A6F">
        <w:rPr/>
        <w:t>all of</w:t>
      </w:r>
      <w:r w:rsidR="00C65A6F">
        <w:rPr/>
        <w:t xml:space="preserve"> the time</w:t>
      </w:r>
      <w:r w:rsidR="37AA04C3">
        <w:rPr/>
        <w:t xml:space="preserve"> </w:t>
      </w:r>
    </w:p>
    <w:p w:rsidRPr="00E20F76" w:rsidR="00C65A6F" w:rsidP="002662A1" w:rsidRDefault="00C65A6F" w14:paraId="156FC910" w14:textId="69923837" w14:noSpellErr="1">
      <w:pPr>
        <w:pStyle w:val="ListParagraph"/>
        <w:numPr>
          <w:ilvl w:val="2"/>
          <w:numId w:val="12"/>
        </w:numPr>
        <w:spacing w:after="0" w:line="240" w:lineRule="auto"/>
        <w:ind w:left="720"/>
        <w:rPr/>
      </w:pPr>
      <w:r w:rsidR="00C65A6F">
        <w:rPr/>
        <w:t xml:space="preserve">% of women and girls who report comfort in using </w:t>
      </w:r>
      <w:r w:rsidR="00C65A6F">
        <w:rPr/>
        <w:t xml:space="preserve">[SECTOR] </w:t>
      </w:r>
      <w:r w:rsidR="00C65A6F">
        <w:rPr/>
        <w:t>services</w:t>
      </w:r>
    </w:p>
    <w:p w:rsidR="637C8D60" w:rsidP="01613F8A" w:rsidRDefault="637C8D60" w14:paraId="481292C0" w14:textId="377D74BE">
      <w:pPr>
        <w:pStyle w:val="ListParagraph"/>
        <w:numPr>
          <w:ilvl w:val="2"/>
          <w:numId w:val="12"/>
        </w:numPr>
        <w:spacing w:after="0" w:line="240" w:lineRule="auto"/>
        <w:ind w:left="720"/>
        <w:rPr/>
      </w:pPr>
      <w:r w:rsidR="637C8D60">
        <w:rPr/>
        <w:t>% of services/programs/project sites with updated referral information available</w:t>
      </w:r>
    </w:p>
    <w:p w:rsidR="637C8D60" w:rsidP="01613F8A" w:rsidRDefault="637C8D60" w14:paraId="566EC89C" w14:textId="61775329">
      <w:pPr>
        <w:pStyle w:val="ListParagraph"/>
        <w:numPr>
          <w:ilvl w:val="2"/>
          <w:numId w:val="12"/>
        </w:numPr>
        <w:spacing w:after="0" w:line="240" w:lineRule="auto"/>
        <w:ind w:left="720"/>
        <w:rPr>
          <w:rFonts w:ascii="Segoe UI" w:hAnsi="Segoe UI" w:cs="Segoe UI"/>
        </w:rPr>
      </w:pPr>
      <w:r w:rsidRPr="01613F8A" w:rsidR="637C8D60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>% of services/programs with feedback mechanisms</w:t>
      </w:r>
    </w:p>
    <w:p w:rsidR="00C65A6F" w:rsidP="003710D7" w:rsidRDefault="00C65A6F" w14:paraId="559F4DF8" w14:textId="77777777"/>
    <w:p w:rsidRPr="00E20F76" w:rsidR="003710D7" w:rsidP="770987CD" w:rsidRDefault="00E20F76" w14:paraId="00365AF0" w14:textId="72C9390B">
      <w:pPr>
        <w:shd w:val="clear" w:color="auto" w:fill="FAE2D5" w:themeFill="accent2" w:themeFillTint="33"/>
        <w:rPr>
          <w:b w:val="1"/>
          <w:bCs w:val="1"/>
          <w:u w:val="single"/>
        </w:rPr>
      </w:pPr>
      <w:r w:rsidRPr="770987CD" w:rsidR="00E20F76">
        <w:rPr>
          <w:b w:val="1"/>
          <w:bCs w:val="1"/>
          <w:u w:val="single"/>
        </w:rPr>
        <w:t xml:space="preserve">Theme 3: </w:t>
      </w:r>
      <w:r w:rsidRPr="770987CD" w:rsidR="003710D7">
        <w:rPr>
          <w:b w:val="1"/>
          <w:bCs w:val="1"/>
          <w:u w:val="single"/>
        </w:rPr>
        <w:t>IMPROVING ACCESS</w:t>
      </w:r>
      <w:r w:rsidRPr="770987CD" w:rsidR="00387352">
        <w:rPr>
          <w:b w:val="1"/>
          <w:bCs w:val="1"/>
          <w:u w:val="single"/>
        </w:rPr>
        <w:t>/REDUCING BARRIERS</w:t>
      </w:r>
      <w:r w:rsidRPr="770987CD" w:rsidR="003710D7">
        <w:rPr>
          <w:b w:val="1"/>
          <w:bCs w:val="1"/>
          <w:u w:val="single"/>
        </w:rPr>
        <w:t xml:space="preserve"> TO SERVICES</w:t>
      </w:r>
    </w:p>
    <w:p w:rsidRPr="002662A1" w:rsidR="003710D7" w:rsidP="00E20F76" w:rsidRDefault="00E20F76" w14:paraId="3F8B9BD4" w14:textId="6E41E588">
      <w:pPr>
        <w:spacing w:after="0" w:line="276" w:lineRule="auto"/>
        <w:rPr>
          <w:i/>
          <w:iCs/>
        </w:rPr>
      </w:pPr>
      <w:r w:rsidRPr="002662A1">
        <w:rPr>
          <w:i/>
          <w:iCs/>
        </w:rPr>
        <w:t>Sample indicators for measuring changes in access to service (improved access, reduced barriers, or both) include:</w:t>
      </w:r>
    </w:p>
    <w:p w:rsidRPr="002662A1" w:rsidR="00E20F76" w:rsidP="00E20F76" w:rsidRDefault="00E20F76" w14:paraId="01E828B0" w14:textId="77777777">
      <w:pPr>
        <w:spacing w:after="0" w:line="276" w:lineRule="auto"/>
        <w:rPr>
          <w:i/>
          <w:iCs/>
        </w:rPr>
      </w:pPr>
    </w:p>
    <w:p w:rsidRPr="00E20F76" w:rsidR="00C65A6F" w:rsidP="002662A1" w:rsidRDefault="00C65A6F" w14:noSpellErr="1" w14:paraId="6F414D31" w14:textId="3CF4CE8B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1291D803" w:rsidR="7A919539">
        <w:rPr>
          <w:color w:val="000000" w:themeColor="text1" w:themeTint="FF" w:themeShade="FF"/>
        </w:rPr>
        <w:t>% of [SECTOR] assessments that include questions related to risks of VAWG in accessing services</w:t>
      </w:r>
    </w:p>
    <w:p w:rsidRPr="00E20F76" w:rsidR="00C65A6F" w:rsidP="002662A1" w:rsidRDefault="00C65A6F" w14:paraId="12374DA3" w14:textId="19663E25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1291D803" w:rsidR="7A919539">
        <w:rPr>
          <w:color w:val="000000" w:themeColor="text1" w:themeTint="FF" w:themeShade="FF"/>
        </w:rPr>
        <w:t>% of [SECTOR] assessments that include questions related to barriers to accessing services</w:t>
      </w:r>
    </w:p>
    <w:p w:rsidRPr="00E20F76" w:rsidR="00C65A6F" w:rsidP="002662A1" w:rsidRDefault="00C65A6F" w14:paraId="74A39581" w14:textId="4047E9A9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1291D803" w:rsidR="7A919539">
        <w:rPr>
          <w:color w:val="000000" w:themeColor="text1" w:themeTint="FF" w:themeShade="FF"/>
        </w:rPr>
        <w:t>% of participants in assessments who are female (disaggregated by age and other vulnerability statuses)</w:t>
      </w:r>
    </w:p>
    <w:p w:rsidRPr="00E20F76" w:rsidR="00C65A6F" w:rsidP="002662A1" w:rsidRDefault="00C65A6F" w14:paraId="0494E956" w14:textId="6E8D28EC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1291D803" w:rsidR="5D6FA4D6">
        <w:rPr>
          <w:color w:val="000000" w:themeColor="text1" w:themeTint="FF" w:themeShade="FF"/>
        </w:rPr>
        <w:t xml:space="preserve">% of </w:t>
      </w:r>
      <w:r w:rsidRPr="1291D803" w:rsidR="5D6FA4D6">
        <w:rPr>
          <w:color w:val="000000" w:themeColor="text1" w:themeTint="FF" w:themeShade="FF"/>
        </w:rPr>
        <w:t>identified</w:t>
      </w:r>
      <w:r w:rsidRPr="1291D803" w:rsidR="5D6FA4D6">
        <w:rPr>
          <w:color w:val="000000" w:themeColor="text1" w:themeTint="FF" w:themeShade="FF"/>
        </w:rPr>
        <w:t xml:space="preserve"> VAWG risks that are addressed within 3 months</w:t>
      </w:r>
    </w:p>
    <w:p w:rsidRPr="00E20F76" w:rsidR="00C65A6F" w:rsidP="002662A1" w:rsidRDefault="00C65A6F" w14:paraId="47259C8E" w14:textId="374FC069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1291D803" w:rsidR="5D6FA4D6">
        <w:rPr>
          <w:color w:val="000000" w:themeColor="text1" w:themeTint="FF" w:themeShade="FF"/>
        </w:rPr>
        <w:t xml:space="preserve">% of </w:t>
      </w:r>
      <w:r w:rsidRPr="1291D803" w:rsidR="5D6FA4D6">
        <w:rPr>
          <w:color w:val="000000" w:themeColor="text1" w:themeTint="FF" w:themeShade="FF"/>
        </w:rPr>
        <w:t>identified</w:t>
      </w:r>
      <w:r w:rsidRPr="1291D803" w:rsidR="5D6FA4D6">
        <w:rPr>
          <w:color w:val="000000" w:themeColor="text1" w:themeTint="FF" w:themeShade="FF"/>
        </w:rPr>
        <w:t xml:space="preserve"> barriers to services that are addressed within 3 months</w:t>
      </w:r>
    </w:p>
    <w:p w:rsidRPr="00E20F76" w:rsidR="00C65A6F" w:rsidP="002662A1" w:rsidRDefault="00C65A6F" w14:paraId="7AED11A9" w14:textId="22A5F21A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1291D803" w:rsidR="00C65A6F">
        <w:rPr>
          <w:color w:val="000000" w:themeColor="text1" w:themeTint="FF" w:themeShade="FF"/>
        </w:rPr>
        <w:t xml:space="preserve">% of women and girls reporting </w:t>
      </w:r>
      <w:r w:rsidRPr="1291D803" w:rsidR="00C65A6F">
        <w:rPr>
          <w:color w:val="000000" w:themeColor="text1" w:themeTint="FF" w:themeShade="FF"/>
        </w:rPr>
        <w:t>[SECTOR]</w:t>
      </w:r>
      <w:r w:rsidRPr="1291D803" w:rsidR="00C65A6F">
        <w:rPr>
          <w:color w:val="000000" w:themeColor="text1" w:themeTint="FF" w:themeShade="FF"/>
        </w:rPr>
        <w:t xml:space="preserve"> services are available </w:t>
      </w:r>
    </w:p>
    <w:p w:rsidRPr="00E20F76" w:rsidR="00C65A6F" w:rsidP="002662A1" w:rsidRDefault="00C65A6F" w14:paraId="1D104304" w14:textId="1F7E4334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 xml:space="preserve">% of women and girls reporting </w:t>
      </w:r>
      <w:r w:rsidRPr="00E20F76">
        <w:rPr>
          <w:color w:val="000000" w:themeColor="text1"/>
        </w:rPr>
        <w:t>[SECTOR]</w:t>
      </w:r>
      <w:r w:rsidRPr="00E20F76">
        <w:rPr>
          <w:color w:val="000000" w:themeColor="text1"/>
        </w:rPr>
        <w:t xml:space="preserve"> services are available at convenient times</w:t>
      </w:r>
    </w:p>
    <w:p w:rsidRPr="00E20F76" w:rsidR="00C65A6F" w:rsidP="002662A1" w:rsidRDefault="00C65A6F" w14:paraId="45AE0F84" w14:textId="3FD14AC4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 xml:space="preserve">% of women and girls reporting being able to “usually” access </w:t>
      </w:r>
      <w:r w:rsidRPr="00E20F76">
        <w:rPr>
          <w:color w:val="000000" w:themeColor="text1"/>
        </w:rPr>
        <w:t>[SECTOR</w:t>
      </w:r>
      <w:r w:rsidR="002662A1">
        <w:rPr>
          <w:color w:val="000000" w:themeColor="text1"/>
        </w:rPr>
        <w:t>]</w:t>
      </w:r>
      <w:r w:rsidRPr="00E20F76">
        <w:rPr>
          <w:color w:val="000000" w:themeColor="text1"/>
        </w:rPr>
        <w:t xml:space="preserve"> services </w:t>
      </w:r>
    </w:p>
    <w:p w:rsidRPr="00E20F76" w:rsidR="00C65A6F" w:rsidP="002662A1" w:rsidRDefault="00C65A6F" w14:paraId="343BC6CD" w14:textId="13B75705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 xml:space="preserve">% of women and girls reporting women like them being able to “usually” access </w:t>
      </w:r>
      <w:r w:rsidRPr="00E20F76">
        <w:rPr>
          <w:color w:val="000000" w:themeColor="text1"/>
        </w:rPr>
        <w:t xml:space="preserve">[SECTOR] </w:t>
      </w:r>
      <w:r w:rsidRPr="00E20F76">
        <w:rPr>
          <w:color w:val="000000" w:themeColor="text1"/>
        </w:rPr>
        <w:t>services</w:t>
      </w:r>
    </w:p>
    <w:p w:rsidRPr="00E20F76" w:rsidR="002E1BC3" w:rsidP="002662A1" w:rsidRDefault="002E1BC3" w14:paraId="4F886424" w14:textId="587FBAF3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>%</w:t>
      </w:r>
      <w:r w:rsidR="00E20F76">
        <w:rPr>
          <w:color w:val="000000" w:themeColor="text1"/>
        </w:rPr>
        <w:t xml:space="preserve"> of </w:t>
      </w:r>
      <w:r w:rsidRPr="00E20F76">
        <w:rPr>
          <w:color w:val="000000" w:themeColor="text1"/>
        </w:rPr>
        <w:t>people</w:t>
      </w:r>
      <w:r w:rsidR="00E20F76">
        <w:rPr>
          <w:color w:val="000000" w:themeColor="text1"/>
        </w:rPr>
        <w:t xml:space="preserve"> or </w:t>
      </w:r>
      <w:r w:rsidRPr="00E20F76">
        <w:rPr>
          <w:color w:val="000000" w:themeColor="text1"/>
        </w:rPr>
        <w:t>%</w:t>
      </w:r>
      <w:r w:rsidR="00E20F76">
        <w:rPr>
          <w:color w:val="000000" w:themeColor="text1"/>
        </w:rPr>
        <w:t xml:space="preserve"> of </w:t>
      </w:r>
      <w:r w:rsidRPr="00E20F76">
        <w:rPr>
          <w:color w:val="000000" w:themeColor="text1"/>
        </w:rPr>
        <w:t xml:space="preserve">locations where </w:t>
      </w:r>
      <w:r w:rsidRPr="00E20F76">
        <w:rPr>
          <w:color w:val="000000" w:themeColor="text1"/>
        </w:rPr>
        <w:t>users report</w:t>
      </w:r>
      <w:r w:rsidRPr="00E20F76">
        <w:rPr>
          <w:color w:val="000000" w:themeColor="text1"/>
        </w:rPr>
        <w:t xml:space="preserve"> hav</w:t>
      </w:r>
      <w:r w:rsidRPr="00E20F76">
        <w:rPr>
          <w:color w:val="000000" w:themeColor="text1"/>
        </w:rPr>
        <w:t>ing</w:t>
      </w:r>
      <w:r w:rsidRPr="00E20F76">
        <w:rPr>
          <w:color w:val="000000" w:themeColor="text1"/>
        </w:rPr>
        <w:t xml:space="preserve"> difficulty accessing </w:t>
      </w:r>
      <w:r w:rsidRPr="00E20F76">
        <w:rPr>
          <w:color w:val="000000" w:themeColor="text1"/>
        </w:rPr>
        <w:t>[SECTOR]</w:t>
      </w:r>
      <w:r w:rsidRPr="00E20F76">
        <w:rPr>
          <w:color w:val="000000" w:themeColor="text1"/>
        </w:rPr>
        <w:t xml:space="preserve"> </w:t>
      </w:r>
      <w:r w:rsidRPr="00E20F76">
        <w:rPr>
          <w:color w:val="000000" w:themeColor="text1"/>
        </w:rPr>
        <w:t xml:space="preserve">distributions/services/programs </w:t>
      </w:r>
      <w:r w:rsidRPr="00E20F76">
        <w:rPr>
          <w:color w:val="000000" w:themeColor="text1"/>
        </w:rPr>
        <w:t>facilities</w:t>
      </w:r>
      <w:r w:rsidRPr="00E20F76">
        <w:rPr>
          <w:color w:val="000000" w:themeColor="text1"/>
        </w:rPr>
        <w:t>, disaggregated by categories of vulnerability (i</w:t>
      </w:r>
      <w:r w:rsidR="00E20F76">
        <w:rPr>
          <w:color w:val="000000" w:themeColor="text1"/>
        </w:rPr>
        <w:t>.</w:t>
      </w:r>
      <w:r w:rsidRPr="00E20F76">
        <w:rPr>
          <w:color w:val="000000" w:themeColor="text1"/>
        </w:rPr>
        <w:t>e</w:t>
      </w:r>
      <w:r w:rsidR="00E20F76">
        <w:rPr>
          <w:color w:val="000000" w:themeColor="text1"/>
        </w:rPr>
        <w:t>.</w:t>
      </w:r>
      <w:r w:rsidRPr="00E20F76">
        <w:rPr>
          <w:color w:val="000000" w:themeColor="text1"/>
        </w:rPr>
        <w:t>: gender, age, disability status, etc</w:t>
      </w:r>
      <w:r w:rsidR="00E20F76">
        <w:rPr>
          <w:color w:val="000000" w:themeColor="text1"/>
        </w:rPr>
        <w:t>.</w:t>
      </w:r>
      <w:r w:rsidRPr="00E20F76">
        <w:rPr>
          <w:color w:val="000000" w:themeColor="text1"/>
        </w:rPr>
        <w:t>)</w:t>
      </w:r>
    </w:p>
    <w:p w:rsidRPr="00E20F76" w:rsidR="00E20F76" w:rsidP="002662A1" w:rsidRDefault="00C65A6F" w14:paraId="4832C02A" w14:textId="287E4ADA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ptos" w:hAnsi="Aptos" w:cs="Segoe UI" w:eastAsiaTheme="majorEastAsia"/>
          <w:color w:val="000000" w:themeColor="text1"/>
        </w:rPr>
      </w:pPr>
      <w:r w:rsidRPr="00E20F76">
        <w:rPr>
          <w:rStyle w:val="normaltextrun"/>
          <w:rFonts w:ascii="Aptos" w:hAnsi="Aptos" w:cs="Segoe UI" w:eastAsiaTheme="majorEastAsia"/>
          <w:color w:val="000000" w:themeColor="text1"/>
        </w:rPr>
        <w:t>% of women and girls reporting they can</w:t>
      </w:r>
      <w:r w:rsidRPr="00E20F76" w:rsidR="003710D7">
        <w:rPr>
          <w:rStyle w:val="normaltextrun"/>
          <w:rFonts w:ascii="Aptos" w:hAnsi="Aptos" w:cs="Segoe UI" w:eastAsiaTheme="majorEastAsia"/>
          <w:color w:val="000000" w:themeColor="text1"/>
        </w:rPr>
        <w:t xml:space="preserve"> access </w:t>
      </w:r>
      <w:r w:rsidRPr="00E20F76">
        <w:rPr>
          <w:rStyle w:val="normaltextrun"/>
          <w:rFonts w:ascii="Aptos" w:hAnsi="Aptos" w:cs="Segoe UI" w:eastAsiaTheme="majorEastAsia"/>
          <w:color w:val="000000" w:themeColor="text1"/>
        </w:rPr>
        <w:t>[SECTOR]</w:t>
      </w:r>
      <w:r w:rsidRPr="00E20F76" w:rsidR="003710D7">
        <w:rPr>
          <w:rStyle w:val="normaltextrun"/>
          <w:rFonts w:ascii="Aptos" w:hAnsi="Aptos" w:cs="Segoe UI" w:eastAsiaTheme="majorEastAsia"/>
          <w:color w:val="000000" w:themeColor="text1"/>
        </w:rPr>
        <w:t xml:space="preserve"> service safely</w:t>
      </w:r>
    </w:p>
    <w:p w:rsidRPr="002662A1" w:rsidR="003710D7" w:rsidP="002662A1" w:rsidRDefault="00C65A6F" w14:paraId="332AF005" w14:textId="2F706546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 xml:space="preserve">% of women reporting barriers to accessing </w:t>
      </w:r>
      <w:r w:rsidRPr="00E20F76">
        <w:rPr>
          <w:color w:val="000000" w:themeColor="text1"/>
        </w:rPr>
        <w:t>[SECTOR]</w:t>
      </w:r>
      <w:r w:rsidRPr="00E20F76">
        <w:rPr>
          <w:color w:val="000000" w:themeColor="text1"/>
        </w:rPr>
        <w:t xml:space="preserve"> services</w:t>
      </w:r>
      <w:r w:rsidR="002662A1">
        <w:rPr>
          <w:color w:val="000000" w:themeColor="text1"/>
        </w:rPr>
        <w:t xml:space="preserve">, </w:t>
      </w:r>
      <w:r w:rsidR="002662A1">
        <w:rPr>
          <w:color w:val="000000" w:themeColor="text1"/>
        </w:rPr>
        <w:t>disaggregated by type of barrier (physical, financial, administrative/bureaucratic, social, information)</w:t>
      </w:r>
    </w:p>
    <w:p w:rsidRPr="00E20F76" w:rsidR="00C65A6F" w:rsidP="002662A1" w:rsidRDefault="00C65A6F" w14:paraId="7080EE5A" w14:textId="77777777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 xml:space="preserve">Average distance or time travelled to </w:t>
      </w:r>
      <w:r w:rsidRPr="00E20F76">
        <w:rPr>
          <w:color w:val="000000" w:themeColor="text1"/>
        </w:rPr>
        <w:t>X distribution/service/facility/program</w:t>
      </w:r>
      <w:r w:rsidRPr="00E20F76">
        <w:rPr>
          <w:color w:val="000000" w:themeColor="text1"/>
        </w:rPr>
        <w:t xml:space="preserve"> </w:t>
      </w:r>
    </w:p>
    <w:p w:rsidRPr="00E20F76" w:rsidR="00C65A6F" w:rsidP="002662A1" w:rsidRDefault="00C65A6F" w14:paraId="09AC2AD9" w14:textId="1492F4A2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>Average waiting time at X distribution/service/facility/program</w:t>
      </w:r>
    </w:p>
    <w:p w:rsidRPr="00E20F76" w:rsidR="00C65A6F" w:rsidP="002662A1" w:rsidRDefault="00C65A6F" w14:paraId="2436BFA1" w14:textId="5DAB774B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 xml:space="preserve">% of women and girls reporting </w:t>
      </w:r>
      <w:r w:rsidRPr="00E20F76">
        <w:rPr>
          <w:color w:val="000000" w:themeColor="text1"/>
        </w:rPr>
        <w:t xml:space="preserve">[SECTOR] </w:t>
      </w:r>
      <w:r w:rsidRPr="00E20F76">
        <w:rPr>
          <w:color w:val="000000" w:themeColor="text1"/>
        </w:rPr>
        <w:t xml:space="preserve">actions to help them feel safer </w:t>
      </w:r>
    </w:p>
    <w:p w:rsidRPr="00E20F76" w:rsidR="003710D7" w:rsidP="002662A1" w:rsidRDefault="00C65A6F" w14:paraId="606309DA" w14:textId="6D596588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 xml:space="preserve">% of </w:t>
      </w:r>
      <w:r w:rsidRPr="00E20F76">
        <w:rPr>
          <w:color w:val="000000" w:themeColor="text1"/>
        </w:rPr>
        <w:t>[SECTOR]</w:t>
      </w:r>
      <w:r w:rsidRPr="00E20F76">
        <w:rPr>
          <w:color w:val="000000" w:themeColor="text1"/>
        </w:rPr>
        <w:t xml:space="preserve"> </w:t>
      </w:r>
      <w:r w:rsidRPr="00E20F76">
        <w:rPr>
          <w:b/>
          <w:bCs/>
          <w:color w:val="000000" w:themeColor="text1"/>
        </w:rPr>
        <w:t xml:space="preserve">staff </w:t>
      </w:r>
      <w:r w:rsidRPr="00E20F76">
        <w:rPr>
          <w:color w:val="000000" w:themeColor="text1"/>
        </w:rPr>
        <w:t>reporting actions to help women and girls feel safer</w:t>
      </w:r>
    </w:p>
    <w:p w:rsidR="003710D7" w:rsidP="003710D7" w:rsidRDefault="003710D7" w14:paraId="42A20011" w14:textId="77777777"/>
    <w:p w:rsidRPr="00E20F76" w:rsidR="003710D7" w:rsidP="770987CD" w:rsidRDefault="00E20F76" w14:paraId="2254EC23" w14:textId="07421372">
      <w:pPr>
        <w:shd w:val="clear" w:color="auto" w:fill="FAE2D5" w:themeFill="accent2" w:themeFillTint="33"/>
        <w:rPr>
          <w:b w:val="1"/>
          <w:bCs w:val="1"/>
          <w:u w:val="single"/>
        </w:rPr>
      </w:pPr>
      <w:r w:rsidRPr="770987CD" w:rsidR="00E20F76">
        <w:rPr>
          <w:b w:val="1"/>
          <w:bCs w:val="1"/>
          <w:u w:val="single"/>
        </w:rPr>
        <w:t xml:space="preserve">Theme 4: </w:t>
      </w:r>
      <w:r w:rsidRPr="770987CD" w:rsidR="003710D7">
        <w:rPr>
          <w:b w:val="1"/>
          <w:bCs w:val="1"/>
          <w:u w:val="single"/>
        </w:rPr>
        <w:t>IMPROVING SECTOR OUTCOMES</w:t>
      </w:r>
    </w:p>
    <w:p w:rsidRPr="002662A1" w:rsidR="003710D7" w:rsidP="003710D7" w:rsidRDefault="003710D7" w14:paraId="499C713C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/>
          <w:i/>
          <w:iCs/>
          <w:color w:val="000000" w:themeColor="text1"/>
        </w:rPr>
      </w:pPr>
      <w:r w:rsidRPr="002662A1">
        <w:rPr>
          <w:rStyle w:val="normaltextrun"/>
          <w:rFonts w:ascii="Aptos" w:hAnsi="Aptos" w:eastAsiaTheme="majorEastAsia"/>
          <w:i/>
          <w:iCs/>
          <w:color w:val="000000" w:themeColor="text1"/>
        </w:rPr>
        <w:t>Specific measurement tools for sector-specific outcomes will depend on sector and context, but examples include:</w:t>
      </w:r>
      <w:r w:rsidRPr="002662A1">
        <w:rPr>
          <w:rStyle w:val="eop"/>
          <w:rFonts w:ascii="Aptos" w:hAnsi="Aptos" w:eastAsiaTheme="majorEastAsia"/>
          <w:i/>
          <w:iCs/>
          <w:color w:val="000000" w:themeColor="text1"/>
        </w:rPr>
        <w:t> </w:t>
      </w:r>
    </w:p>
    <w:p w:rsidRPr="002662A1" w:rsidR="00E20F76" w:rsidP="00E20F76" w:rsidRDefault="00E20F76" w14:paraId="5E3F28F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eastAsiaTheme="majorEastAsia"/>
          <w:i/>
          <w:iCs/>
          <w:color w:val="000000" w:themeColor="text1"/>
        </w:rPr>
      </w:pPr>
    </w:p>
    <w:p w:rsidR="00E20F76" w:rsidP="002662A1" w:rsidRDefault="003710D7" w14:paraId="0C92B39C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ptos" w:hAnsi="Aptos"/>
          <w:color w:val="000000" w:themeColor="text1"/>
        </w:rPr>
      </w:pPr>
      <w:r w:rsidRPr="00E20F76">
        <w:rPr>
          <w:rStyle w:val="normaltextrun"/>
          <w:rFonts w:ascii="Aptos" w:hAnsi="Aptos" w:eastAsiaTheme="majorEastAsia"/>
          <w:color w:val="000000" w:themeColor="text1"/>
        </w:rPr>
        <w:t xml:space="preserve">Increase in use of </w:t>
      </w:r>
      <w:r w:rsidRPr="00E20F76" w:rsidR="00C65A6F">
        <w:rPr>
          <w:rStyle w:val="normaltextrun"/>
          <w:rFonts w:ascii="Aptos" w:hAnsi="Aptos" w:eastAsiaTheme="majorEastAsia"/>
          <w:color w:val="000000" w:themeColor="text1"/>
        </w:rPr>
        <w:t>X services/programs/facilities</w:t>
      </w:r>
      <w:r w:rsidRPr="00E20F76">
        <w:rPr>
          <w:rStyle w:val="normaltextrun"/>
          <w:rFonts w:ascii="Aptos" w:hAnsi="Aptos" w:eastAsiaTheme="majorEastAsia"/>
          <w:color w:val="000000" w:themeColor="text1"/>
        </w:rPr>
        <w:t xml:space="preserve"> by women, girls and other vulnerable group</w:t>
      </w:r>
      <w:r w:rsidR="00E20F76">
        <w:rPr>
          <w:rStyle w:val="normaltextrun"/>
          <w:rFonts w:ascii="Aptos" w:hAnsi="Aptos" w:eastAsiaTheme="majorEastAsia"/>
          <w:color w:val="000000" w:themeColor="text1"/>
        </w:rPr>
        <w:t>s</w:t>
      </w:r>
    </w:p>
    <w:p w:rsidRPr="00E20F76" w:rsidR="003710D7" w:rsidP="002662A1" w:rsidRDefault="003710D7" w14:paraId="52602DB2" w14:textId="58848B3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ptos" w:hAnsi="Aptos"/>
          <w:color w:val="000000" w:themeColor="text1"/>
        </w:rPr>
      </w:pPr>
      <w:r w:rsidRPr="00E20F76">
        <w:rPr>
          <w:rStyle w:val="normaltextrun"/>
          <w:rFonts w:ascii="Aptos" w:hAnsi="Aptos" w:eastAsiaTheme="majorEastAsia"/>
          <w:color w:val="000000" w:themeColor="text1"/>
        </w:rPr>
        <w:t>Reduction in time spent/distance to X collection (i.e.: water, firewood, food/NFI distributions</w:t>
      </w:r>
      <w:r w:rsidR="00E20F76">
        <w:rPr>
          <w:rStyle w:val="normaltextrun"/>
          <w:rFonts w:ascii="Aptos" w:hAnsi="Aptos" w:eastAsiaTheme="majorEastAsia"/>
          <w:color w:val="000000" w:themeColor="text1"/>
        </w:rPr>
        <w:t>)</w:t>
      </w:r>
    </w:p>
    <w:p w:rsidRPr="00E20F76" w:rsidR="003710D7" w:rsidP="002662A1" w:rsidRDefault="003710D7" w14:paraId="4EC5D889" w14:textId="1F7E2D33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ptos" w:hAnsi="Aptos"/>
          <w:color w:val="000000" w:themeColor="text1"/>
        </w:rPr>
      </w:pPr>
      <w:r w:rsidRPr="00E20F76">
        <w:rPr>
          <w:rStyle w:val="normaltextrun"/>
          <w:rFonts w:ascii="Aptos" w:hAnsi="Aptos" w:eastAsiaTheme="majorEastAsia"/>
          <w:color w:val="000000" w:themeColor="text1"/>
        </w:rPr>
        <w:lastRenderedPageBreak/>
        <w:t>Increase in participation in X programming intervention by women, girls and other vulnerable groups</w:t>
      </w:r>
    </w:p>
    <w:p w:rsidRPr="002662A1" w:rsidR="003710D7" w:rsidP="002662A1" w:rsidRDefault="003710D7" w14:paraId="1710D591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ptos" w:hAnsi="Aptos"/>
          <w:color w:val="000000" w:themeColor="text1"/>
        </w:rPr>
      </w:pPr>
      <w:r w:rsidRPr="01613F8A" w:rsidR="003710D7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Reduction in sector-related risky coping mechanisms</w:t>
      </w:r>
    </w:p>
    <w:p w:rsidR="59CE2919" w:rsidP="01613F8A" w:rsidRDefault="59CE2919" w14:paraId="186A25A3" w14:textId="28D4728B">
      <w:pPr>
        <w:pStyle w:val="paragraph"/>
        <w:numPr>
          <w:ilvl w:val="0"/>
          <w:numId w:val="18"/>
        </w:numPr>
        <w:spacing w:before="0" w:beforeAutospacing="off" w:after="0" w:afterAutospacing="off"/>
        <w:rPr>
          <w:rStyle w:val="normaltextrun"/>
          <w:rFonts w:ascii="Aptos" w:hAnsi="Aptos" w:eastAsia="" w:eastAsiaTheme="majorEastAsia"/>
          <w:color w:val="000000" w:themeColor="text1" w:themeTint="FF" w:themeShade="FF"/>
        </w:rPr>
      </w:pPr>
      <w:r w:rsidRPr="770987CD" w:rsidR="59CE2919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% of staff/personnel trained </w:t>
      </w:r>
      <w:r w:rsidRPr="770987CD" w:rsidR="59CE2919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on</w:t>
      </w:r>
      <w:r w:rsidRPr="770987CD" w:rsidR="59CE2919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 </w:t>
      </w:r>
      <w:r w:rsidRPr="770987CD" w:rsidR="59CE2919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VAWG risk mitigation/IASC GBV Guidelines</w:t>
      </w:r>
      <w:r w:rsidRPr="770987CD" w:rsidR="62C800AD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 </w:t>
      </w:r>
      <w:r w:rsidRPr="770987CD" w:rsidR="62C800A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(i.e.: the pre-requisite course for this Toolkit, on CARE’s learning platform, Disco)</w:t>
      </w:r>
      <w:r w:rsidRPr="770987CD" w:rsidR="59CE2919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; safe referrals/responding to disclosures</w:t>
      </w:r>
      <w:r w:rsidRPr="770987CD" w:rsidR="3B137FDE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 (also a Toolkit prerequisite course)</w:t>
      </w:r>
      <w:r w:rsidRPr="770987CD" w:rsidR="56CF1D7D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; </w:t>
      </w:r>
      <w:hyperlink r:id="R682d6792f29a49b9">
        <w:r w:rsidRPr="770987CD" w:rsidR="56CF1D7D">
          <w:rPr>
            <w:rStyle w:val="Hyperlink"/>
            <w:rFonts w:ascii="Aptos" w:hAnsi="Aptos" w:eastAsia="" w:eastAsiaTheme="majorEastAsia"/>
          </w:rPr>
          <w:t>PSHEA</w:t>
        </w:r>
      </w:hyperlink>
      <w:r w:rsidRPr="770987CD" w:rsidR="56CF1D7D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 xml:space="preserve"> (disaggregated by type of training, sector, etc.).</w:t>
      </w:r>
    </w:p>
    <w:p w:rsidRPr="00E20F76" w:rsidR="002662A1" w:rsidP="002662A1" w:rsidRDefault="002662A1" w14:paraId="32B7EC7C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/>
          <w:color w:val="000000" w:themeColor="text1"/>
        </w:rPr>
      </w:pPr>
    </w:p>
    <w:p w:rsidRPr="002662A1" w:rsidR="002662A1" w:rsidP="770987CD" w:rsidRDefault="002662A1" w14:paraId="7588817E" w14:textId="207E23F1">
      <w:pPr>
        <w:rPr>
          <w:i w:val="1"/>
          <w:iCs w:val="1"/>
          <w:color w:val="EE0000"/>
        </w:rPr>
      </w:pPr>
      <w:r w:rsidRPr="770987CD" w:rsidR="002662A1">
        <w:rPr>
          <w:i w:val="1"/>
          <w:iCs w:val="1"/>
          <w:color w:val="EE0000"/>
        </w:rPr>
        <w:t xml:space="preserve">NOTE: </w:t>
      </w:r>
      <w:r w:rsidRPr="770987CD" w:rsidR="002662A1">
        <w:rPr>
          <w:i w:val="1"/>
          <w:iCs w:val="1"/>
          <w:color w:val="EE0000"/>
        </w:rPr>
        <w:t>see</w:t>
      </w:r>
      <w:r w:rsidRPr="770987CD" w:rsidR="002662A1">
        <w:rPr>
          <w:i w:val="1"/>
          <w:iCs w:val="1"/>
          <w:color w:val="EE0000"/>
        </w:rPr>
        <w:t xml:space="preserve"> also </w:t>
      </w:r>
      <w:commentRangeStart w:id="4"/>
      <w:r w:rsidRPr="770987CD" w:rsidR="002662A1">
        <w:rPr>
          <w:i w:val="1"/>
          <w:iCs w:val="1"/>
          <w:color w:val="EE0000"/>
        </w:rPr>
        <w:t>sector-specific indicators</w:t>
      </w:r>
      <w:commentRangeEnd w:id="4"/>
      <w:r>
        <w:rPr>
          <w:rStyle w:val="CommentReference"/>
        </w:rPr>
        <w:commentReference w:id="4"/>
      </w:r>
      <w:r w:rsidRPr="770987CD" w:rsidR="002662A1">
        <w:rPr>
          <w:i w:val="1"/>
          <w:iCs w:val="1"/>
          <w:color w:val="EE0000"/>
        </w:rPr>
        <w:t>.</w:t>
      </w:r>
    </w:p>
    <w:p w:rsidR="770987CD" w:rsidP="770987CD" w:rsidRDefault="770987CD" w14:paraId="3203E37F" w14:textId="2B3D47DB">
      <w:pPr>
        <w:rPr>
          <w:i w:val="1"/>
          <w:iCs w:val="1"/>
          <w:color w:val="EE0000"/>
        </w:rPr>
      </w:pPr>
    </w:p>
    <w:p w:rsidRPr="00E20F76" w:rsidR="002662A1" w:rsidP="770987CD" w:rsidRDefault="002662A1" w14:paraId="778D8515" w14:textId="7C5BF2A9">
      <w:pPr>
        <w:shd w:val="clear" w:color="auto" w:fill="E97132" w:themeFill="accent2"/>
        <w:spacing w:after="0" w:line="276" w:lineRule="auto"/>
        <w:rPr>
          <w:b w:val="1"/>
          <w:bCs w:val="1"/>
          <w:color w:val="FFFFFF" w:themeColor="background1" w:themeTint="FF" w:themeShade="FF"/>
        </w:rPr>
      </w:pPr>
      <w:r w:rsidRPr="770987CD" w:rsidR="002662A1">
        <w:rPr>
          <w:b w:val="1"/>
          <w:bCs w:val="1"/>
          <w:color w:val="FFFFFF" w:themeColor="background1" w:themeTint="FF" w:themeShade="FF"/>
        </w:rPr>
        <w:t xml:space="preserve">SECTION </w:t>
      </w:r>
      <w:r w:rsidRPr="770987CD" w:rsidR="002662A1">
        <w:rPr>
          <w:b w:val="1"/>
          <w:bCs w:val="1"/>
          <w:color w:val="FFFFFF" w:themeColor="background1" w:themeTint="FF" w:themeShade="FF"/>
        </w:rPr>
        <w:t>2</w:t>
      </w:r>
      <w:r w:rsidRPr="770987CD" w:rsidR="002662A1">
        <w:rPr>
          <w:b w:val="1"/>
          <w:bCs w:val="1"/>
          <w:color w:val="FFFFFF" w:themeColor="background1" w:themeTint="FF" w:themeShade="FF"/>
        </w:rPr>
        <w:t xml:space="preserve">: </w:t>
      </w:r>
    </w:p>
    <w:p w:rsidR="003710D7" w:rsidP="770987CD" w:rsidRDefault="002662A1" w14:paraId="2565311B" w14:textId="2D28D989">
      <w:pPr>
        <w:shd w:val="clear" w:color="auto" w:fill="E97132" w:themeFill="accent2"/>
        <w:rPr>
          <w:b w:val="1"/>
          <w:bCs w:val="1"/>
          <w:color w:val="FFFFFF" w:themeColor="background1" w:themeTint="FF" w:themeShade="FF"/>
        </w:rPr>
      </w:pPr>
      <w:r w:rsidRPr="770987CD" w:rsidR="002662A1">
        <w:rPr>
          <w:b w:val="1"/>
          <w:bCs w:val="1"/>
          <w:color w:val="FFFFFF" w:themeColor="background1" w:themeTint="FF" w:themeShade="FF"/>
        </w:rPr>
        <w:t xml:space="preserve">UNDERSTANDING PROGRAMMING INFLUENCE </w:t>
      </w:r>
      <w:r w:rsidRPr="770987CD" w:rsidR="002662A1">
        <w:rPr>
          <w:b w:val="1"/>
          <w:bCs w:val="1"/>
          <w:color w:val="FFFFFF" w:themeColor="background1" w:themeTint="FF" w:themeShade="FF"/>
        </w:rPr>
        <w:t>ACROSS THE AAAQ CATEGORIES</w:t>
      </w:r>
    </w:p>
    <w:p w:rsidR="002662A1" w:rsidP="002662A1" w:rsidRDefault="002662A1" w14:paraId="327915CA" w14:textId="77777777">
      <w:pPr>
        <w:spacing w:after="0" w:line="276" w:lineRule="auto"/>
        <w:rPr>
          <w:b/>
          <w:bCs/>
          <w:u w:val="single"/>
        </w:rPr>
      </w:pPr>
    </w:p>
    <w:p w:rsidRPr="002662A1" w:rsidR="002662A1" w:rsidP="770987CD" w:rsidRDefault="002662A1" w14:paraId="2A3E1391" w14:textId="15FD5380">
      <w:pPr>
        <w:shd w:val="clear" w:color="auto" w:fill="FAE2D5" w:themeFill="accent2" w:themeFillTint="33"/>
        <w:spacing w:after="0" w:line="276" w:lineRule="auto"/>
        <w:rPr>
          <w:b w:val="1"/>
          <w:bCs w:val="1"/>
          <w:u w:val="single"/>
        </w:rPr>
      </w:pPr>
      <w:r w:rsidRPr="770987CD" w:rsidR="002662A1">
        <w:rPr>
          <w:b w:val="1"/>
          <w:bCs w:val="1"/>
          <w:u w:val="single"/>
        </w:rPr>
        <w:t>Category 1: AVAILABILITY</w:t>
      </w:r>
    </w:p>
    <w:p w:rsidRPr="00E20F76" w:rsidR="002662A1" w:rsidP="002662A1" w:rsidRDefault="002662A1" w14:paraId="5B2E1D10" w14:textId="77777777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 xml:space="preserve">% of women and girls reporting [SECTOR] services are available </w:t>
      </w:r>
    </w:p>
    <w:p w:rsidRPr="002662A1" w:rsidR="002662A1" w:rsidP="002662A1" w:rsidRDefault="002662A1" w14:paraId="413E93C1" w14:textId="042AC058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>% of women and girls reporting [SECTOR] services are available at convenient times</w:t>
      </w:r>
    </w:p>
    <w:p w:rsidR="002662A1" w:rsidP="002662A1" w:rsidRDefault="002662A1" w14:paraId="46ABD9A8" w14:textId="77777777">
      <w:pPr>
        <w:spacing w:after="0" w:line="276" w:lineRule="auto"/>
      </w:pPr>
    </w:p>
    <w:p w:rsidRPr="002662A1" w:rsidR="002662A1" w:rsidP="770987CD" w:rsidRDefault="002662A1" w14:paraId="60B703AA" w14:textId="3D6CC683">
      <w:pPr>
        <w:shd w:val="clear" w:color="auto" w:fill="FAE2D5" w:themeFill="accent2" w:themeFillTint="33"/>
        <w:spacing w:after="0" w:line="276" w:lineRule="auto"/>
        <w:rPr>
          <w:b w:val="1"/>
          <w:bCs w:val="1"/>
          <w:u w:val="single"/>
        </w:rPr>
      </w:pPr>
      <w:r w:rsidRPr="770987CD" w:rsidR="002662A1">
        <w:rPr>
          <w:b w:val="1"/>
          <w:bCs w:val="1"/>
          <w:u w:val="single"/>
        </w:rPr>
        <w:t>Category 2: ACCESSIBILITY</w:t>
      </w:r>
    </w:p>
    <w:p w:rsidRPr="00E20F76" w:rsidR="002662A1" w:rsidP="002662A1" w:rsidRDefault="002662A1" w14:paraId="4FE79431" w14:textId="77777777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>% of women and girls reporting being able to “usually” access [SECTOR</w:t>
      </w:r>
      <w:r>
        <w:rPr>
          <w:color w:val="000000" w:themeColor="text1"/>
        </w:rPr>
        <w:t>]</w:t>
      </w:r>
      <w:r w:rsidRPr="00E20F76">
        <w:rPr>
          <w:color w:val="000000" w:themeColor="text1"/>
        </w:rPr>
        <w:t xml:space="preserve"> services </w:t>
      </w:r>
    </w:p>
    <w:p w:rsidRPr="00E20F76" w:rsidR="002662A1" w:rsidP="002662A1" w:rsidRDefault="002662A1" w14:paraId="022CFC03" w14:textId="77777777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>% of women and girls reporting women like them being able to “usually” access [SECTOR] services</w:t>
      </w:r>
    </w:p>
    <w:p w:rsidRPr="00E20F76" w:rsidR="002662A1" w:rsidP="002662A1" w:rsidRDefault="002662A1" w14:paraId="12CCBB43" w14:textId="0137A050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>%</w:t>
      </w:r>
      <w:r>
        <w:rPr>
          <w:color w:val="000000" w:themeColor="text1"/>
        </w:rPr>
        <w:t xml:space="preserve"> of </w:t>
      </w:r>
      <w:r w:rsidRPr="00E20F76">
        <w:rPr>
          <w:color w:val="000000" w:themeColor="text1"/>
        </w:rPr>
        <w:t>people</w:t>
      </w:r>
      <w:r>
        <w:rPr>
          <w:color w:val="000000" w:themeColor="text1"/>
        </w:rPr>
        <w:t xml:space="preserve"> or </w:t>
      </w:r>
      <w:r w:rsidRPr="00E20F76">
        <w:rPr>
          <w:color w:val="000000" w:themeColor="text1"/>
        </w:rPr>
        <w:t>%</w:t>
      </w:r>
      <w:r>
        <w:rPr>
          <w:color w:val="000000" w:themeColor="text1"/>
        </w:rPr>
        <w:t xml:space="preserve"> of </w:t>
      </w:r>
      <w:r w:rsidRPr="00E20F76">
        <w:rPr>
          <w:color w:val="000000" w:themeColor="text1"/>
        </w:rPr>
        <w:t>locations where users report having difficulty accessing [SECTOR] distributions/services/programs facilities, disaggregated by categories of vulnerability (i</w:t>
      </w:r>
      <w:r>
        <w:rPr>
          <w:color w:val="000000" w:themeColor="text1"/>
        </w:rPr>
        <w:t>.</w:t>
      </w:r>
      <w:r w:rsidRPr="00E20F76">
        <w:rPr>
          <w:color w:val="000000" w:themeColor="text1"/>
        </w:rPr>
        <w:t>e</w:t>
      </w:r>
      <w:r>
        <w:rPr>
          <w:color w:val="000000" w:themeColor="text1"/>
        </w:rPr>
        <w:t>.</w:t>
      </w:r>
      <w:r w:rsidRPr="00E20F76">
        <w:rPr>
          <w:color w:val="000000" w:themeColor="text1"/>
        </w:rPr>
        <w:t>: gender, age, disability status, etc</w:t>
      </w:r>
      <w:r>
        <w:rPr>
          <w:color w:val="000000" w:themeColor="text1"/>
        </w:rPr>
        <w:t>.</w:t>
      </w:r>
      <w:r w:rsidRPr="00E20F76">
        <w:rPr>
          <w:color w:val="000000" w:themeColor="text1"/>
        </w:rPr>
        <w:t>)</w:t>
      </w:r>
    </w:p>
    <w:p w:rsidRPr="00E20F76" w:rsidR="002662A1" w:rsidP="002662A1" w:rsidRDefault="002662A1" w14:paraId="5338A759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ptos" w:hAnsi="Aptos" w:cs="Segoe UI" w:eastAsiaTheme="majorEastAsia"/>
          <w:color w:val="000000" w:themeColor="text1"/>
        </w:rPr>
      </w:pPr>
      <w:r w:rsidRPr="00E20F76">
        <w:rPr>
          <w:rStyle w:val="normaltextrun"/>
          <w:rFonts w:ascii="Aptos" w:hAnsi="Aptos" w:cs="Segoe UI" w:eastAsiaTheme="majorEastAsia"/>
          <w:color w:val="000000" w:themeColor="text1"/>
        </w:rPr>
        <w:t>% of women and girls reporting they can access [SECTOR] service safely</w:t>
      </w:r>
    </w:p>
    <w:p w:rsidRPr="00E20F76" w:rsidR="002662A1" w:rsidP="002662A1" w:rsidRDefault="002662A1" w14:paraId="3F78E00B" w14:textId="75D98421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>% of women reporting barriers to accessing [SECTOR] services</w:t>
      </w:r>
      <w:r>
        <w:rPr>
          <w:color w:val="000000" w:themeColor="text1"/>
        </w:rPr>
        <w:t>, disaggregated by type of barrier (physical, financial, administrative/bureaucratic, social, information)</w:t>
      </w:r>
    </w:p>
    <w:p w:rsidRPr="00E20F76" w:rsidR="002662A1" w:rsidP="002662A1" w:rsidRDefault="002662A1" w14:paraId="1B37D041" w14:textId="77777777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 xml:space="preserve">Average distance or time travelled to X distribution/service/facility/program </w:t>
      </w:r>
    </w:p>
    <w:p w:rsidRPr="00E20F76" w:rsidR="002662A1" w:rsidP="002662A1" w:rsidRDefault="002662A1" w14:paraId="473D0150" w14:textId="77777777">
      <w:pPr>
        <w:pStyle w:val="ListParagraph"/>
        <w:numPr>
          <w:ilvl w:val="0"/>
          <w:numId w:val="17"/>
        </w:numPr>
        <w:spacing w:after="0" w:line="240" w:lineRule="auto"/>
        <w:rPr>
          <w:color w:val="000000" w:themeColor="text1"/>
        </w:rPr>
      </w:pPr>
      <w:r w:rsidRPr="00E20F76">
        <w:rPr>
          <w:color w:val="000000" w:themeColor="text1"/>
        </w:rPr>
        <w:t>Average waiting time at X distribution/service/facility/program</w:t>
      </w:r>
    </w:p>
    <w:p w:rsidR="002662A1" w:rsidP="002662A1" w:rsidRDefault="002662A1" w14:paraId="040A7ABB" w14:textId="77777777">
      <w:pPr>
        <w:spacing w:after="0" w:line="276" w:lineRule="auto"/>
      </w:pPr>
    </w:p>
    <w:p w:rsidRPr="002662A1" w:rsidR="002662A1" w:rsidP="770987CD" w:rsidRDefault="002662A1" w14:paraId="74EB52D2" w14:textId="401EA451">
      <w:pPr>
        <w:shd w:val="clear" w:color="auto" w:fill="FAE2D5" w:themeFill="accent2" w:themeFillTint="33"/>
        <w:spacing w:after="0" w:line="276" w:lineRule="auto"/>
        <w:rPr>
          <w:b w:val="1"/>
          <w:bCs w:val="1"/>
          <w:u w:val="single"/>
        </w:rPr>
      </w:pPr>
      <w:r w:rsidRPr="770987CD" w:rsidR="002662A1">
        <w:rPr>
          <w:b w:val="1"/>
          <w:bCs w:val="1"/>
          <w:u w:val="single"/>
        </w:rPr>
        <w:t>Category 3: ACCEPTABILITY</w:t>
      </w:r>
    </w:p>
    <w:p w:rsidRPr="002662A1" w:rsidR="002662A1" w:rsidP="002662A1" w:rsidRDefault="002662A1" w14:paraId="6860BF13" w14:textId="77777777">
      <w:pPr>
        <w:pStyle w:val="paragraph"/>
        <w:numPr>
          <w:ilvl w:val="2"/>
          <w:numId w:val="12"/>
        </w:numPr>
        <w:spacing w:before="0" w:beforeAutospacing="0" w:after="0" w:afterAutospacing="0"/>
        <w:ind w:left="720"/>
        <w:textAlignment w:val="baseline"/>
        <w:rPr>
          <w:rStyle w:val="normaltextrun"/>
          <w:rFonts w:ascii="Aptos" w:hAnsi="Aptos"/>
        </w:rPr>
      </w:pPr>
      <w:r w:rsidRPr="01613F8A" w:rsidR="002662A1">
        <w:rPr>
          <w:rStyle w:val="normaltextrun"/>
          <w:rFonts w:ascii="Aptos" w:hAnsi="Aptos" w:eastAsia="" w:eastAsiaTheme="majorEastAsia"/>
          <w:color w:val="000000" w:themeColor="text1" w:themeTint="FF" w:themeShade="FF"/>
        </w:rPr>
        <w:t># or % of facilities established in consultation with women and girls</w:t>
      </w:r>
    </w:p>
    <w:p w:rsidRPr="00E20F76" w:rsidR="002662A1" w:rsidP="002662A1" w:rsidRDefault="002662A1" w14:paraId="0158F615" w14:textId="77777777">
      <w:pPr>
        <w:pStyle w:val="ListParagraph"/>
        <w:numPr>
          <w:ilvl w:val="2"/>
          <w:numId w:val="12"/>
        </w:numPr>
        <w:spacing w:after="0" w:line="240" w:lineRule="auto"/>
        <w:ind w:left="720"/>
      </w:pPr>
      <w:r w:rsidRPr="00E20F76">
        <w:t>% of women and girls who reported that their privacy was ensured at X service/facility/program</w:t>
      </w:r>
    </w:p>
    <w:p w:rsidR="002662A1" w:rsidP="002662A1" w:rsidRDefault="002662A1" w14:paraId="4CE5287E" w14:textId="77777777">
      <w:pPr>
        <w:pStyle w:val="ListParagraph"/>
        <w:numPr>
          <w:ilvl w:val="2"/>
          <w:numId w:val="12"/>
        </w:numPr>
        <w:spacing w:after="0" w:line="240" w:lineRule="auto"/>
        <w:ind w:left="720"/>
      </w:pPr>
      <w:r w:rsidRPr="00E20F76">
        <w:t xml:space="preserve">% of women and girls who report they are satisfied or very satisfied with [SECTOR] services </w:t>
      </w:r>
    </w:p>
    <w:p w:rsidRPr="00E20F76" w:rsidR="002662A1" w:rsidP="002662A1" w:rsidRDefault="002662A1" w14:paraId="0E4F51B4" w14:textId="77777777">
      <w:pPr>
        <w:pStyle w:val="ListParagraph"/>
        <w:numPr>
          <w:ilvl w:val="2"/>
          <w:numId w:val="12"/>
        </w:numPr>
        <w:spacing w:after="0" w:line="240" w:lineRule="auto"/>
        <w:ind w:left="720"/>
      </w:pPr>
      <w:r w:rsidRPr="00E20F76">
        <w:t xml:space="preserve">% of women and girls who report that facilities/services/programming offered fit their needs </w:t>
      </w:r>
    </w:p>
    <w:p w:rsidRPr="00E20F76" w:rsidR="002662A1" w:rsidP="002662A1" w:rsidRDefault="002662A1" w14:paraId="13FE22DC" w14:textId="77777777">
      <w:pPr>
        <w:pStyle w:val="ListParagraph"/>
        <w:numPr>
          <w:ilvl w:val="2"/>
          <w:numId w:val="12"/>
        </w:numPr>
        <w:spacing w:after="0" w:line="240" w:lineRule="auto"/>
        <w:ind w:left="720"/>
      </w:pPr>
      <w:r w:rsidRPr="00E20F76">
        <w:t xml:space="preserve">% of women and girls who report female staff are available at [SECTOR] facilities/services most of the time or </w:t>
      </w:r>
      <w:proofErr w:type="gramStart"/>
      <w:r w:rsidRPr="00E20F76">
        <w:t>all of</w:t>
      </w:r>
      <w:proofErr w:type="gramEnd"/>
      <w:r w:rsidRPr="00E20F76">
        <w:t xml:space="preserve"> the time</w:t>
      </w:r>
    </w:p>
    <w:p w:rsidR="002662A1" w:rsidP="002662A1" w:rsidRDefault="002662A1" w14:paraId="5D7D2670" w14:textId="40702747" w14:noSpellErr="1">
      <w:pPr>
        <w:pStyle w:val="ListParagraph"/>
        <w:numPr>
          <w:ilvl w:val="2"/>
          <w:numId w:val="12"/>
        </w:numPr>
        <w:spacing w:after="0" w:line="240" w:lineRule="auto"/>
        <w:ind w:left="720"/>
        <w:rPr/>
      </w:pPr>
      <w:r w:rsidR="002662A1">
        <w:rPr/>
        <w:t>% of women and girls who report comfort in using [SECTOR] services</w:t>
      </w:r>
    </w:p>
    <w:p w:rsidR="43812F19" w:rsidP="01613F8A" w:rsidRDefault="43812F19" w14:paraId="564BEF9B" w14:textId="42734586">
      <w:pPr>
        <w:pStyle w:val="ListParagraph"/>
        <w:numPr>
          <w:ilvl w:val="2"/>
          <w:numId w:val="12"/>
        </w:numPr>
        <w:spacing w:after="0" w:line="240" w:lineRule="auto"/>
        <w:ind w:left="720"/>
        <w:rPr>
          <w:rFonts w:ascii="Aptos" w:hAnsi="Aptos"/>
        </w:rPr>
      </w:pPr>
      <w:r w:rsidRPr="01613F8A" w:rsidR="43812F19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>% of services/programs with feedback mechanisms</w:t>
      </w:r>
    </w:p>
    <w:p w:rsidR="43812F19" w:rsidP="01613F8A" w:rsidRDefault="43812F19" w14:paraId="0E0D0C8B" w14:textId="6537D59B">
      <w:pPr>
        <w:pStyle w:val="ListParagraph"/>
        <w:numPr>
          <w:ilvl w:val="2"/>
          <w:numId w:val="12"/>
        </w:numPr>
        <w:spacing w:after="0" w:line="240" w:lineRule="auto"/>
        <w:ind w:left="720"/>
        <w:rPr/>
      </w:pPr>
      <w:r w:rsidR="43812F19">
        <w:rPr/>
        <w:t># or % of staff who have signed Codes of Conduct/ # or % of partners with Codes of Conduct</w:t>
      </w:r>
    </w:p>
    <w:p w:rsidR="002662A1" w:rsidP="770987CD" w:rsidRDefault="002662A1" w14:paraId="3B074069" w14:textId="77777777">
      <w:pPr>
        <w:shd w:val="clear" w:color="auto" w:fill="FFFFFF" w:themeFill="background1"/>
        <w:spacing w:after="0" w:line="276" w:lineRule="auto"/>
      </w:pPr>
    </w:p>
    <w:p w:rsidRPr="002662A1" w:rsidR="002662A1" w:rsidP="770987CD" w:rsidRDefault="002662A1" w14:paraId="24454600" w14:textId="5C8B97D0">
      <w:pPr>
        <w:shd w:val="clear" w:color="auto" w:fill="FAE2D5" w:themeFill="accent2" w:themeFillTint="33"/>
        <w:spacing w:after="0" w:line="276" w:lineRule="auto"/>
        <w:rPr>
          <w:b w:val="1"/>
          <w:bCs w:val="1"/>
          <w:u w:val="single"/>
        </w:rPr>
      </w:pPr>
      <w:r w:rsidRPr="770987CD" w:rsidR="002662A1">
        <w:rPr>
          <w:b w:val="1"/>
          <w:bCs w:val="1"/>
          <w:u w:val="single"/>
        </w:rPr>
        <w:t>Category 4: QUALITY</w:t>
      </w:r>
    </w:p>
    <w:p w:rsidR="002662A1" w:rsidP="002662A1" w:rsidRDefault="002662A1" w14:paraId="2E7ACC14" w14:textId="15AE49F6">
      <w:pPr>
        <w:pStyle w:val="ListParagraph"/>
        <w:numPr>
          <w:ilvl w:val="0"/>
          <w:numId w:val="19"/>
        </w:numPr>
        <w:spacing w:after="0" w:line="276" w:lineRule="auto"/>
      </w:pPr>
      <w:r>
        <w:t xml:space="preserve">% of women and girls who report high quality of </w:t>
      </w:r>
      <w:r>
        <w:t xml:space="preserve">[SECTOR] </w:t>
      </w:r>
      <w:r>
        <w:t>services</w:t>
      </w:r>
    </w:p>
    <w:p w:rsidR="002662A1" w:rsidP="002662A1" w:rsidRDefault="002662A1" w14:paraId="2C536264" w14:textId="77F58494">
      <w:pPr>
        <w:pStyle w:val="ListParagraph"/>
        <w:numPr>
          <w:ilvl w:val="0"/>
          <w:numId w:val="19"/>
        </w:numPr>
        <w:spacing w:after="0" w:line="276" w:lineRule="auto"/>
      </w:pPr>
      <w:r>
        <w:t xml:space="preserve">% of </w:t>
      </w:r>
      <w:r>
        <w:t xml:space="preserve">[SECTOR} </w:t>
      </w:r>
      <w:r w:rsidRPr="002662A1">
        <w:rPr>
          <w:b/>
          <w:bCs/>
        </w:rPr>
        <w:t>staff</w:t>
      </w:r>
      <w:r>
        <w:t xml:space="preserve"> who report high quality of services for women and girls</w:t>
      </w:r>
    </w:p>
    <w:p w:rsidR="002662A1" w:rsidP="002662A1" w:rsidRDefault="002662A1" w14:paraId="1A7BDFE6" w14:textId="0545EC1B">
      <w:pPr>
        <w:pStyle w:val="ListParagraph"/>
        <w:numPr>
          <w:ilvl w:val="0"/>
          <w:numId w:val="19"/>
        </w:numPr>
        <w:spacing w:after="0" w:line="276" w:lineRule="auto"/>
      </w:pPr>
      <w:r>
        <w:lastRenderedPageBreak/>
        <w:t>% of women and girls who report that the [SECTOR] services fit their needs</w:t>
      </w:r>
    </w:p>
    <w:p w:rsidR="002662A1" w:rsidP="002662A1" w:rsidRDefault="002662A1" w14:paraId="03359170" w14:textId="6E66D674">
      <w:pPr>
        <w:pStyle w:val="ListParagraph"/>
        <w:numPr>
          <w:ilvl w:val="0"/>
          <w:numId w:val="19"/>
        </w:numPr>
        <w:spacing w:after="0" w:line="276" w:lineRule="auto"/>
      </w:pPr>
      <w:r>
        <w:t>% of facility/program/service, etc. staff that are female</w:t>
      </w:r>
    </w:p>
    <w:p w:rsidR="002662A1" w:rsidP="002662A1" w:rsidRDefault="002662A1" w14:paraId="2F11E70A" w14:textId="10C455B3">
      <w:pPr>
        <w:pStyle w:val="ListParagraph"/>
        <w:numPr>
          <w:ilvl w:val="0"/>
          <w:numId w:val="19"/>
        </w:numPr>
        <w:spacing w:after="0" w:line="276" w:lineRule="auto"/>
        <w:rPr/>
      </w:pPr>
      <w:r w:rsidR="002662A1">
        <w:rPr/>
        <w:t xml:space="preserve">% staff trained on </w:t>
      </w:r>
      <w:r w:rsidR="002662A1">
        <w:rPr/>
        <w:t>GBV risk mitigation principles/ approaches</w:t>
      </w:r>
      <w:r w:rsidR="10F1DB31">
        <w:rPr/>
        <w:t xml:space="preserve"> (</w:t>
      </w:r>
      <w:r w:rsidRPr="770987CD" w:rsidR="10F1DB31">
        <w:rPr>
          <w:rFonts w:ascii="Aptos" w:hAnsi="Aptos" w:eastAsia="Aptos" w:cs="Aptos"/>
          <w:noProof w:val="0"/>
          <w:color w:val="000000" w:themeColor="text1" w:themeTint="FF" w:themeShade="FF"/>
          <w:lang w:val="en-US"/>
        </w:rPr>
        <w:t>i.e.: the pre-requisite course for this Toolkit, on CARE’s learning platform, Disco)</w:t>
      </w:r>
    </w:p>
    <w:p w:rsidR="002662A1" w:rsidP="002662A1" w:rsidRDefault="002662A1" w14:paraId="101D4056" w14:textId="4BA2FE9B" w14:noSpellErr="1">
      <w:pPr>
        <w:pStyle w:val="ListParagraph"/>
        <w:numPr>
          <w:ilvl w:val="0"/>
          <w:numId w:val="19"/>
        </w:numPr>
        <w:spacing w:after="0" w:line="276" w:lineRule="auto"/>
        <w:rPr/>
      </w:pPr>
      <w:r w:rsidR="002662A1">
        <w:rPr/>
        <w:t xml:space="preserve">% of sector programming designed and implemented in line with the Do No Harm in Practice toolkit </w:t>
      </w:r>
    </w:p>
    <w:p w:rsidR="6A3200A5" w:rsidP="1291D803" w:rsidRDefault="6A3200A5" w14:paraId="002F0BCA" w14:textId="3FD91686">
      <w:pPr>
        <w:pStyle w:val="ListParagraph"/>
        <w:numPr>
          <w:ilvl w:val="0"/>
          <w:numId w:val="19"/>
        </w:numPr>
        <w:spacing w:after="0" w:line="276" w:lineRule="auto"/>
        <w:rPr>
          <w:sz w:val="24"/>
          <w:szCs w:val="24"/>
        </w:rPr>
      </w:pPr>
      <w:r w:rsidR="6A3200A5">
        <w:rPr/>
        <w:t>% of [</w:t>
      </w:r>
      <w:r w:rsidR="6A3200A5">
        <w:rPr/>
        <w:t>SECTOR] policies</w:t>
      </w:r>
      <w:r w:rsidR="6A3200A5">
        <w:rPr/>
        <w:t>, guidelines or standards that include VAWG risk mitigation</w:t>
      </w:r>
    </w:p>
    <w:p w:rsidR="6A3200A5" w:rsidP="1291D803" w:rsidRDefault="6A3200A5" w14:paraId="01EDFB77" w14:textId="2631FDD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="6A3200A5">
        <w:rPr/>
        <w:t>strategies from this toolkit and/or from the IASC GBV Guidelines</w:t>
      </w:r>
    </w:p>
    <w:p w:rsidR="002662A1" w:rsidP="002662A1" w:rsidRDefault="002662A1" w14:paraId="387FE6C3" w14:textId="32AE961B" w14:noSpellErr="1">
      <w:pPr>
        <w:pStyle w:val="ListParagraph"/>
        <w:numPr>
          <w:ilvl w:val="0"/>
          <w:numId w:val="19"/>
        </w:numPr>
        <w:spacing w:after="0" w:line="276" w:lineRule="auto"/>
        <w:rPr/>
      </w:pPr>
      <w:r w:rsidR="002662A1">
        <w:rPr/>
        <w:t>% of facility/program staff trained on GBV referrals</w:t>
      </w:r>
    </w:p>
    <w:p w:rsidR="6D80C493" w:rsidP="1291D803" w:rsidRDefault="6D80C493" w14:paraId="10A9618A" w14:textId="6E9E9209">
      <w:pPr>
        <w:pStyle w:val="ListParagraph"/>
        <w:numPr>
          <w:ilvl w:val="0"/>
          <w:numId w:val="19"/>
        </w:numPr>
        <w:spacing w:after="0" w:line="276" w:lineRule="auto"/>
        <w:rPr>
          <w:sz w:val="24"/>
          <w:szCs w:val="24"/>
        </w:rPr>
      </w:pPr>
      <w:r w:rsidR="6D80C493">
        <w:rPr/>
        <w:t>% of program/community outreach activities that include information on where to report risk and access care for survivors of VAWG and those at risk</w:t>
      </w:r>
    </w:p>
    <w:p w:rsidR="003710D7" w:rsidP="003710D7" w:rsidRDefault="002662A1" w14:paraId="6887F615" w14:textId="6B2C5F60">
      <w:pPr>
        <w:pStyle w:val="ListParagraph"/>
        <w:numPr>
          <w:ilvl w:val="0"/>
          <w:numId w:val="19"/>
        </w:numPr>
        <w:spacing w:after="0" w:line="276" w:lineRule="auto"/>
      </w:pPr>
      <w:r>
        <w:t>% of facility/program staff that have been trained on and signed Codes of Conduct</w:t>
      </w:r>
    </w:p>
    <w:sectPr w:rsidR="003710D7" w:rsidSect="001322D3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4243d0dc88f94478"/>
      <w:headerReference w:type="first" r:id="R2639d19c6e304bd7"/>
      <w:footerReference w:type="default" r:id="Ra60f9daa39614d82"/>
      <w:footerReference w:type="first" r:id="R957ba7e8a1d142db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EP" w:author="Erin Patrick" w:date="2025-11-05T15:05:00Z" w:id="4">
    <w:p w:rsidR="002662A1" w:rsidP="002662A1" w:rsidRDefault="002662A1" w14:paraId="10832A02" w14:textId="77777777">
      <w:r>
        <w:rPr>
          <w:rStyle w:val="CommentReference"/>
        </w:rPr>
        <w:annotationRef/>
      </w:r>
      <w:r>
        <w:rPr>
          <w:sz w:val="20"/>
          <w:szCs w:val="20"/>
        </w:rPr>
        <w:t>link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0832A0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E1E87B" w16cex:dateUtc="2025-11-05T20:05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0832A02" w16cid:durableId="16E1E8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0987CD" w:rsidTr="770987CD" w14:paraId="78F467E2">
      <w:trPr>
        <w:trHeight w:val="300"/>
      </w:trPr>
      <w:tc>
        <w:tcPr>
          <w:tcW w:w="3120" w:type="dxa"/>
          <w:tcMar/>
        </w:tcPr>
        <w:p w:rsidR="770987CD" w:rsidP="770987CD" w:rsidRDefault="770987CD" w14:paraId="4FA6F563" w14:textId="28C199D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70987CD" w:rsidP="770987CD" w:rsidRDefault="770987CD" w14:paraId="6948BC5D" w14:textId="2CF0254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70987CD" w:rsidP="770987CD" w:rsidRDefault="770987CD" w14:paraId="7BC27A7B" w14:textId="70544A2D">
          <w:pPr>
            <w:pStyle w:val="Header"/>
            <w:bidi w:val="0"/>
            <w:ind w:right="-115"/>
            <w:jc w:val="right"/>
          </w:pPr>
        </w:p>
      </w:tc>
    </w:tr>
  </w:tbl>
  <w:p w:rsidR="770987CD" w:rsidP="770987CD" w:rsidRDefault="770987CD" w14:paraId="1D642675" w14:textId="651613B7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0987CD" w:rsidTr="770987CD" w14:paraId="3CC379EE">
      <w:trPr>
        <w:trHeight w:val="300"/>
      </w:trPr>
      <w:tc>
        <w:tcPr>
          <w:tcW w:w="3120" w:type="dxa"/>
          <w:tcMar/>
        </w:tcPr>
        <w:p w:rsidR="770987CD" w:rsidP="770987CD" w:rsidRDefault="770987CD" w14:paraId="546729BC" w14:textId="7966F13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70987CD" w:rsidP="770987CD" w:rsidRDefault="770987CD" w14:paraId="51C5BCCE" w14:textId="0CE5258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70987CD" w:rsidP="770987CD" w:rsidRDefault="770987CD" w14:paraId="5A66C969" w14:textId="78C84DBE">
          <w:pPr>
            <w:pStyle w:val="Header"/>
            <w:bidi w:val="0"/>
            <w:ind w:right="-115"/>
            <w:jc w:val="right"/>
          </w:pPr>
        </w:p>
      </w:tc>
    </w:tr>
  </w:tbl>
  <w:p w:rsidR="770987CD" w:rsidP="770987CD" w:rsidRDefault="770987CD" w14:paraId="079A090B" w14:textId="52F6748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70987CD" w:rsidTr="770987CD" w14:paraId="12376F9F">
      <w:trPr>
        <w:trHeight w:val="300"/>
      </w:trPr>
      <w:tc>
        <w:tcPr>
          <w:tcW w:w="3120" w:type="dxa"/>
          <w:tcMar/>
        </w:tcPr>
        <w:p w:rsidR="770987CD" w:rsidP="770987CD" w:rsidRDefault="770987CD" w14:paraId="2B9F7C0E" w14:textId="3A69B4D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70987CD" w:rsidP="770987CD" w:rsidRDefault="770987CD" w14:paraId="21A0AF30" w14:textId="790C66D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70987CD" w:rsidP="770987CD" w:rsidRDefault="770987CD" w14:paraId="6C7352E2" w14:textId="72A7B4F8">
          <w:pPr>
            <w:pStyle w:val="Header"/>
            <w:bidi w:val="0"/>
            <w:ind w:right="-115"/>
            <w:jc w:val="right"/>
          </w:pPr>
        </w:p>
      </w:tc>
    </w:tr>
  </w:tbl>
  <w:p w:rsidR="770987CD" w:rsidP="770987CD" w:rsidRDefault="770987CD" w14:paraId="45A7F22F" w14:textId="1282DB89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770987CD" w:rsidTr="770987CD" w14:paraId="5007D075">
      <w:trPr>
        <w:trHeight w:val="300"/>
      </w:trPr>
      <w:tc>
        <w:tcPr>
          <w:tcW w:w="9360" w:type="dxa"/>
          <w:tcMar/>
        </w:tcPr>
        <w:p w:rsidR="770987CD" w:rsidP="770987CD" w:rsidRDefault="770987CD" w14:paraId="2BDF36FF" w14:textId="3547069D">
          <w:pPr>
            <w:pStyle w:val="Header"/>
            <w:bidi w:val="0"/>
            <w:ind w:left="-115"/>
            <w:jc w:val="left"/>
          </w:pPr>
          <w:r w:rsidR="770987CD">
            <w:drawing>
              <wp:inline wp14:editId="52AD9BC8" wp14:anchorId="1FC3AE34">
                <wp:extent cx="5810250" cy="762000"/>
                <wp:effectExtent l="0" t="0" r="0" b="0"/>
                <wp:docPr id="177180776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71807768" name="Picture 177180776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2568828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70987CD" w:rsidP="770987CD" w:rsidRDefault="770987CD" w14:paraId="6B067FEF" w14:textId="76394B9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ABD"/>
    <w:multiLevelType w:val="hybridMultilevel"/>
    <w:tmpl w:val="035AE10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3471B0"/>
    <w:multiLevelType w:val="multilevel"/>
    <w:tmpl w:val="A9F8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54E145C"/>
    <w:multiLevelType w:val="hybridMultilevel"/>
    <w:tmpl w:val="507AD626"/>
    <w:lvl w:ilvl="0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3E7A60"/>
    <w:multiLevelType w:val="hybridMultilevel"/>
    <w:tmpl w:val="EC18E21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264C5A"/>
    <w:multiLevelType w:val="multilevel"/>
    <w:tmpl w:val="B670565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A106A02"/>
    <w:multiLevelType w:val="multilevel"/>
    <w:tmpl w:val="3860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E9002E8"/>
    <w:multiLevelType w:val="hybridMultilevel"/>
    <w:tmpl w:val="BDE4459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786F09"/>
    <w:multiLevelType w:val="hybridMultilevel"/>
    <w:tmpl w:val="4860E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97AD1"/>
    <w:multiLevelType w:val="hybridMultilevel"/>
    <w:tmpl w:val="DD9E7B1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6B18D9"/>
    <w:multiLevelType w:val="hybridMultilevel"/>
    <w:tmpl w:val="CE204BF4"/>
    <w:lvl w:ilvl="0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3817A5"/>
    <w:multiLevelType w:val="multilevel"/>
    <w:tmpl w:val="856E4AD0"/>
    <w:lvl w:ilvl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E134B76"/>
    <w:multiLevelType w:val="hybridMultilevel"/>
    <w:tmpl w:val="696857F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C5C8B"/>
    <w:multiLevelType w:val="hybridMultilevel"/>
    <w:tmpl w:val="C65EB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D7A819A">
      <w:numFmt w:val="bullet"/>
      <w:lvlText w:val="-"/>
      <w:lvlJc w:val="left"/>
      <w:pPr>
        <w:ind w:left="2400" w:hanging="420"/>
      </w:pPr>
      <w:rPr>
        <w:rFonts w:hint="default" w:ascii="Aptos" w:hAnsi="Aptos" w:cs="Times New Roman" w:eastAsiaTheme="majorEastAsia"/>
        <w:color w:val="000000"/>
      </w:rPr>
    </w:lvl>
    <w:lvl w:ilvl="3" w:tplc="4A4C96C2">
      <w:numFmt w:val="bullet"/>
      <w:lvlText w:val="·"/>
      <w:lvlJc w:val="left"/>
      <w:pPr>
        <w:ind w:left="2920" w:hanging="400"/>
      </w:pPr>
      <w:rPr>
        <w:rFonts w:hint="default" w:ascii="Aptos" w:hAnsi="Aptos" w:cs="Times New Roman" w:eastAsiaTheme="majorEastAsia"/>
        <w:color w:val="00000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21922"/>
    <w:multiLevelType w:val="hybridMultilevel"/>
    <w:tmpl w:val="2BE8BF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D6BE9"/>
    <w:multiLevelType w:val="hybridMultilevel"/>
    <w:tmpl w:val="3ED2628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ED374F8"/>
    <w:multiLevelType w:val="hybridMultilevel"/>
    <w:tmpl w:val="648EF608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8524302"/>
    <w:multiLevelType w:val="hybridMultilevel"/>
    <w:tmpl w:val="073C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53A54"/>
    <w:multiLevelType w:val="hybridMultilevel"/>
    <w:tmpl w:val="AB009828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CA35163"/>
    <w:multiLevelType w:val="hybridMultilevel"/>
    <w:tmpl w:val="1248D8D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1876387">
    <w:abstractNumId w:val="10"/>
  </w:num>
  <w:num w:numId="2" w16cid:durableId="1865634203">
    <w:abstractNumId w:val="4"/>
  </w:num>
  <w:num w:numId="3" w16cid:durableId="1992516852">
    <w:abstractNumId w:val="5"/>
  </w:num>
  <w:num w:numId="4" w16cid:durableId="1725368431">
    <w:abstractNumId w:val="7"/>
  </w:num>
  <w:num w:numId="5" w16cid:durableId="205264428">
    <w:abstractNumId w:val="12"/>
  </w:num>
  <w:num w:numId="6" w16cid:durableId="951594089">
    <w:abstractNumId w:val="15"/>
  </w:num>
  <w:num w:numId="7" w16cid:durableId="1953392369">
    <w:abstractNumId w:val="16"/>
  </w:num>
  <w:num w:numId="8" w16cid:durableId="1158501425">
    <w:abstractNumId w:val="11"/>
  </w:num>
  <w:num w:numId="9" w16cid:durableId="1446004132">
    <w:abstractNumId w:val="17"/>
  </w:num>
  <w:num w:numId="10" w16cid:durableId="1480416926">
    <w:abstractNumId w:val="13"/>
  </w:num>
  <w:num w:numId="11" w16cid:durableId="1021932515">
    <w:abstractNumId w:val="1"/>
  </w:num>
  <w:num w:numId="12" w16cid:durableId="257178485">
    <w:abstractNumId w:val="6"/>
  </w:num>
  <w:num w:numId="13" w16cid:durableId="1140224492">
    <w:abstractNumId w:val="8"/>
  </w:num>
  <w:num w:numId="14" w16cid:durableId="1005399052">
    <w:abstractNumId w:val="0"/>
  </w:num>
  <w:num w:numId="15" w16cid:durableId="1734350414">
    <w:abstractNumId w:val="9"/>
  </w:num>
  <w:num w:numId="16" w16cid:durableId="817721629">
    <w:abstractNumId w:val="2"/>
  </w:num>
  <w:num w:numId="17" w16cid:durableId="772551375">
    <w:abstractNumId w:val="18"/>
  </w:num>
  <w:num w:numId="18" w16cid:durableId="1030378997">
    <w:abstractNumId w:val="14"/>
  </w:num>
  <w:num w:numId="19" w16cid:durableId="36704550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rin Patrick">
    <w15:presenceInfo w15:providerId="Windows Live" w15:userId="7a30a8b0f2be12e4"/>
  </w15:person>
  <w15:person w15:author="Erin Patrick">
    <w15:presenceInfo w15:providerId="AD" w15:userId="S::erin.patrick@care.org::c9eae7d6-acf2-44a3-8637-9bf41a4b15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D7"/>
    <w:rsid w:val="000C3289"/>
    <w:rsid w:val="001322D3"/>
    <w:rsid w:val="0014453F"/>
    <w:rsid w:val="001500F1"/>
    <w:rsid w:val="002662A1"/>
    <w:rsid w:val="002E1BC3"/>
    <w:rsid w:val="003710D7"/>
    <w:rsid w:val="00387352"/>
    <w:rsid w:val="006E6B8C"/>
    <w:rsid w:val="00757634"/>
    <w:rsid w:val="00A863B7"/>
    <w:rsid w:val="00C65A6F"/>
    <w:rsid w:val="00D0059F"/>
    <w:rsid w:val="00E20F76"/>
    <w:rsid w:val="01613F8A"/>
    <w:rsid w:val="0260820D"/>
    <w:rsid w:val="04D22732"/>
    <w:rsid w:val="070BD586"/>
    <w:rsid w:val="07B08F85"/>
    <w:rsid w:val="0DC35F9B"/>
    <w:rsid w:val="0E871D22"/>
    <w:rsid w:val="0EE6D911"/>
    <w:rsid w:val="0F58B92D"/>
    <w:rsid w:val="10F1DB31"/>
    <w:rsid w:val="1291D803"/>
    <w:rsid w:val="132642A7"/>
    <w:rsid w:val="16089913"/>
    <w:rsid w:val="16677908"/>
    <w:rsid w:val="1753FFB3"/>
    <w:rsid w:val="19CCB5C5"/>
    <w:rsid w:val="2326B7A3"/>
    <w:rsid w:val="2A4469EA"/>
    <w:rsid w:val="2B33B8EA"/>
    <w:rsid w:val="2BD4E088"/>
    <w:rsid w:val="2EDD3CF3"/>
    <w:rsid w:val="31FC5956"/>
    <w:rsid w:val="3570D1AF"/>
    <w:rsid w:val="37AA04C3"/>
    <w:rsid w:val="3A3DEE18"/>
    <w:rsid w:val="3B137FDE"/>
    <w:rsid w:val="3D72E624"/>
    <w:rsid w:val="43812F19"/>
    <w:rsid w:val="4AFC8F3F"/>
    <w:rsid w:val="4CB95B5B"/>
    <w:rsid w:val="4DD0AAA5"/>
    <w:rsid w:val="4FB5FA1D"/>
    <w:rsid w:val="4FBE424C"/>
    <w:rsid w:val="51D44678"/>
    <w:rsid w:val="52D20A47"/>
    <w:rsid w:val="56CF1D7D"/>
    <w:rsid w:val="5733EA8B"/>
    <w:rsid w:val="579FDEFF"/>
    <w:rsid w:val="59CE2919"/>
    <w:rsid w:val="5A17E418"/>
    <w:rsid w:val="5AF1941D"/>
    <w:rsid w:val="5BEE9200"/>
    <w:rsid w:val="5D6FA4D6"/>
    <w:rsid w:val="60CF91AE"/>
    <w:rsid w:val="62C800AD"/>
    <w:rsid w:val="637C8D60"/>
    <w:rsid w:val="68EC8E8B"/>
    <w:rsid w:val="695EB2FE"/>
    <w:rsid w:val="6A3200A5"/>
    <w:rsid w:val="6B0435E4"/>
    <w:rsid w:val="6D80C493"/>
    <w:rsid w:val="6EAE0C33"/>
    <w:rsid w:val="71161F77"/>
    <w:rsid w:val="770987CD"/>
    <w:rsid w:val="77628CE9"/>
    <w:rsid w:val="795AD8F3"/>
    <w:rsid w:val="7A919539"/>
    <w:rsid w:val="7DC4A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A6EE5"/>
  <w15:chartTrackingRefBased/>
  <w15:docId w15:val="{AAB2D51A-14EE-ED4E-B691-46BD6BAB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0D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0D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10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710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10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10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10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10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10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10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1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0D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10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71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0D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71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0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0D7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3710D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3710D7"/>
  </w:style>
  <w:style w:type="character" w:styleId="eop" w:customStyle="1">
    <w:name w:val="eop"/>
    <w:basedOn w:val="DefaultParagraphFont"/>
    <w:rsid w:val="003710D7"/>
  </w:style>
  <w:style w:type="character" w:styleId="CommentReference">
    <w:name w:val="annotation reference"/>
    <w:basedOn w:val="DefaultParagraphFont"/>
    <w:uiPriority w:val="99"/>
    <w:semiHidden/>
    <w:unhideWhenUsed/>
    <w:rsid w:val="00E20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F7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20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F7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20F76"/>
    <w:rPr>
      <w:b/>
      <w:bCs/>
      <w:sz w:val="20"/>
      <w:szCs w:val="20"/>
    </w:rPr>
  </w:style>
  <w:style w:type="character" w:styleId="Hyperlink">
    <w:uiPriority w:val="99"/>
    <w:name w:val="Hyperlink"/>
    <w:basedOn w:val="DefaultParagraphFont"/>
    <w:unhideWhenUsed/>
    <w:rsid w:val="770987CD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70987C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70987C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Id8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openxmlformats.org/officeDocument/2006/relationships/comments" Target="comments.xml" Id="rId5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gbvguidelines.org/sp-toolkit/start/" TargetMode="External" Id="Rc302937d25f742b7" /><Relationship Type="http://schemas.openxmlformats.org/officeDocument/2006/relationships/hyperlink" Target="https://gbvguidelines.org/wp/wp-content/uploads/2019/11/AAAQ-framework-Nov-2019-WEB.pdf" TargetMode="External" Id="R380711af04454318" /><Relationship Type="http://schemas.openxmlformats.org/officeDocument/2006/relationships/hyperlink" Target="https://gbvguidelines.org/wp/wp-content/uploads/2026/01/FGD-Safety-Perceptions_template.docx" TargetMode="External" Id="R5c9767eafd744a7f" /><Relationship Type="http://schemas.openxmlformats.org/officeDocument/2006/relationships/hyperlink" Target="https://gbvguidelines.org/wp/wp-content/uploads/2026/01/FGD-Service-Access-and-Barriers_template.docx" TargetMode="External" Id="R6f33f0350f4842a2" /><Relationship Type="http://schemas.openxmlformats.org/officeDocument/2006/relationships/hyperlink" Target="https://careinternational.sharepoint.com/sites/Global-Safeguarding/Shared%20Documents/2025-08-05_CARE_Safeguarding_Toolkit_Credit.pdf?web=1" TargetMode="External" Id="R682d6792f29a49b9" /><Relationship Type="http://schemas.openxmlformats.org/officeDocument/2006/relationships/header" Target="header.xml" Id="R4243d0dc88f94478" /><Relationship Type="http://schemas.openxmlformats.org/officeDocument/2006/relationships/header" Target="header2.xml" Id="R2639d19c6e304bd7" /><Relationship Type="http://schemas.openxmlformats.org/officeDocument/2006/relationships/footer" Target="footer.xml" Id="Ra60f9daa39614d82" /><Relationship Type="http://schemas.openxmlformats.org/officeDocument/2006/relationships/footer" Target="footer2.xml" Id="R957ba7e8a1d142db" /><Relationship Type="http://schemas.openxmlformats.org/officeDocument/2006/relationships/hyperlink" Target="https://gbvguidelines.org/wp/wp-content/uploads/2025/12/SECTOR-SPECIFIC-INDICATORS.docx" TargetMode="External" Id="Rb991c454fb8c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42568828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Patrick</dc:creator>
  <keywords/>
  <dc:description/>
  <lastModifiedBy>Dina Hanania</lastModifiedBy>
  <revision>11</revision>
  <dcterms:created xsi:type="dcterms:W3CDTF">2025-11-05T17:52:00.0000000Z</dcterms:created>
  <dcterms:modified xsi:type="dcterms:W3CDTF">2026-03-09T20:38:40.4849112Z</dcterms:modified>
</coreProperties>
</file>