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0AF5" w:rsidR="00710AF5" w:rsidP="25B1E9E3" w:rsidRDefault="00710AF5" w14:paraId="099F81DC" w14:textId="7CCDAFB1">
      <w:pPr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7BA7995" w:rsidR="0BA4B3A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AAAQ FRAMEWORK – </w:t>
      </w:r>
      <w:r w:rsidRPr="47BA7995" w:rsidR="0BA4B3A1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EDUCATION</w:t>
      </w:r>
    </w:p>
    <w:p w:rsidRPr="00710AF5" w:rsidR="00710AF5" w:rsidP="25B1E9E3" w:rsidRDefault="00710AF5" w14:paraId="2B801591" w14:textId="57F15308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B1E9E3" w:rsidR="0BA4B3A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Source: Inter-agency GBV Risk Mitigation Online Course</w:t>
      </w:r>
    </w:p>
    <w:p w:rsidRPr="00710AF5" w:rsidR="00710AF5" w:rsidP="25B1E9E3" w:rsidRDefault="00710AF5" w14:paraId="72A109F4" w14:textId="176DCCD4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25B1E9E3" w:rsidRDefault="00710AF5" w14:paraId="40C416DE" w14:textId="21A50E9A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02C71EB" w:rsidR="0BA4B3A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This tool is part of CARE’s </w:t>
      </w:r>
      <w:hyperlink r:id="Rb5288a73e809404b">
        <w:r w:rsidRPr="202C71EB" w:rsidR="0BA4B3A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202C71EB" w:rsidR="0BA4B3A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02C71EB" w:rsidR="0BA4B3A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2C71EB" w:rsidR="0BA4B3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202C71EB" w:rsidR="0BA4B3A1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202C71EB" w:rsidR="0BA4B3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710AF5" w:rsidR="00710AF5" w:rsidP="25B1E9E3" w:rsidRDefault="00710AF5" w14:paraId="76438189" w14:textId="4461AA5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25B1E9E3" w:rsidRDefault="00710AF5" w14:paraId="00D2EC24" w14:textId="1A2EADCA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B1E9E3" w:rsidR="0BA4B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710AF5" w:rsidR="00710AF5" w:rsidP="47BA7995" w:rsidRDefault="00710AF5" w14:paraId="5C21A91A" w14:textId="3D354D0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47BA7995" w:rsidR="0BA4B3A1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4"/>
          <w:szCs w:val="24"/>
          <w:u w:val="single"/>
          <w:lang w:val="en-GB"/>
        </w:rPr>
        <w:t xml:space="preserve">Availability, Accessibility, Acceptability and Quality (AAAQ) framework 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is a simple assessment and analysis tool that is useful for assessing all types of services and particularly for 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>identifying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barriers to services that may not be 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>apparent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Detailed information on the AAAQ is available </w:t>
      </w:r>
      <w:hyperlink r:id="R2f949999e5394348">
        <w:r w:rsidRPr="47BA7995" w:rsidR="0BA4B3A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here</w:t>
        </w:r>
      </w:hyperlink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The version of the AAAQ included below is pre-tailored for use by the </w:t>
      </w:r>
      <w:r w:rsidRPr="47BA7995" w:rsidR="0BA4B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Education 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>sector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 </w:t>
      </w:r>
    </w:p>
    <w:p w:rsidRPr="00710AF5" w:rsidR="00710AF5" w:rsidP="25B1E9E3" w:rsidRDefault="00710AF5" w14:paraId="3A50FA0C" w14:textId="490F9292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25B1E9E3" w:rsidRDefault="00710AF5" w14:paraId="31ADA94C" w14:textId="1C99ADA8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B1E9E3" w:rsidR="0BA4B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</w:t>
      </w:r>
    </w:p>
    <w:p w:rsidRPr="00710AF5" w:rsidR="00710AF5" w:rsidP="25B1E9E3" w:rsidRDefault="00710AF5" w14:paraId="2FFDBF77" w14:textId="713C0A92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2C71EB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hyperlink r:id="Rd3db5ea60b4c4b84">
        <w:r w:rsidRPr="202C71EB" w:rsidR="0BA4B3A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Tipsheet for non-GBV </w:t>
        </w:r>
        <w:r w:rsidRPr="202C71EB" w:rsidR="0BA4B3A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specialists</w:t>
        </w:r>
      </w:hyperlink>
      <w:r w:rsidRPr="202C71EB" w:rsidR="5ACB127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02C71EB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202C71EB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asking questions about safety prior to undertaking any GBV risk-related assessments.</w:t>
      </w:r>
    </w:p>
    <w:p w:rsidRPr="00710AF5" w:rsidR="00710AF5" w:rsidP="25B1E9E3" w:rsidRDefault="00710AF5" w14:paraId="558948CA" w14:textId="2ECE4D07">
      <w:pPr>
        <w:pStyle w:val="ListParagraph"/>
        <w:numPr>
          <w:ilvl w:val="0"/>
          <w:numId w:val="7"/>
        </w:numPr>
        <w:ind w:left="108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7BA7995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7BA7995" w:rsidR="0BA4B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47BA7995" w:rsidR="0BA4B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47BA7995" w:rsidR="0BA4B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any interviews using this guide. A training guide on this topic can be found </w:t>
      </w:r>
      <w:hyperlink r:id="R3744456183b84ef8">
        <w:r w:rsidRPr="47BA7995" w:rsidR="0BA4B3A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47BA7995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22204"/>
      </w:r>
      <w:r w:rsidRPr="47BA7995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710AF5" w:rsidR="00710AF5" w:rsidP="25B1E9E3" w:rsidRDefault="00710AF5" w14:paraId="29A6C064" w14:textId="224033E0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B1E9E3" w:rsidR="0BA4B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25B1E9E3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questions/areas of inquiry noted below will be relevant for your context or that the examples given will suit your context exactly. Pick, choose and adapt as needed.</w:t>
      </w:r>
    </w:p>
    <w:p w:rsidRPr="00710AF5" w:rsidR="00710AF5" w:rsidP="25B1E9E3" w:rsidRDefault="00710AF5" w14:paraId="433F4B26" w14:textId="1779C3FE">
      <w:pPr>
        <w:pStyle w:val="ListParagraph"/>
        <w:numPr>
          <w:ilvl w:val="0"/>
          <w:numId w:val="8"/>
        </w:numPr>
        <w:spacing w:before="0" w:beforeAutospacing="off" w:after="0" w:afterAutospacing="off" w:line="259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B1E9E3" w:rsidR="0BA4B3A1">
        <w:rPr>
          <w:rFonts w:ascii="Aptos" w:hAnsi="Aptos" w:eastAsia="Aptos" w:cs="Aptos"/>
          <w:noProof w:val="0"/>
          <w:sz w:val="24"/>
          <w:szCs w:val="24"/>
          <w:lang w:val="en-US"/>
        </w:rPr>
        <w:t>There are multiple methodologies for using the AAAQ framework, but it is best suited for Key Informant Interviews (KIIs), Focus Group Discussions (FGDs), safety audits, or a combination.</w:t>
      </w:r>
    </w:p>
    <w:p w:rsidRPr="00710AF5" w:rsidR="00710AF5" w:rsidP="25B1E9E3" w:rsidRDefault="00710AF5" w14:paraId="0C1B59AD" w14:textId="01165CB4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25B1E9E3" w:rsidRDefault="00710AF5" w14:paraId="25DEB5FA" w14:textId="6EA0F59E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B1E9E3" w:rsidR="0BA4B3A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____________________________________________________________________________________________________________________</w:t>
      </w:r>
    </w:p>
    <w:p w:rsidRPr="00710AF5" w:rsidR="00710AF5" w:rsidP="25B1E9E3" w:rsidRDefault="00710AF5" w14:paraId="3F1CB9D7" w14:textId="45552EE1">
      <w:pPr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</w:p>
    <w:p w:rsidR="202C71EB" w:rsidP="202C71EB" w:rsidRDefault="202C71EB" w14:paraId="7FA2340F" w14:textId="5E5FB33E">
      <w:pPr>
        <w:jc w:val="left"/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</w:pPr>
    </w:p>
    <w:p w:rsidRPr="00710AF5" w:rsidR="00710AF5" w:rsidP="47BA7995" w:rsidRDefault="00710AF5" w14:paraId="2030F853" w14:textId="4050E6B1">
      <w:pPr>
        <w:jc w:val="left"/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</w:pPr>
    </w:p>
    <w:p w:rsidRPr="00710AF5" w:rsidR="00710AF5" w:rsidP="47BA7995" w:rsidRDefault="00710AF5" w14:paraId="7AB313F8" w14:textId="5F1D2C53">
      <w:pPr/>
      <w:r>
        <w:br w:type="page"/>
      </w:r>
    </w:p>
    <w:p w:rsidRPr="00710AF5" w:rsidR="00710AF5" w:rsidP="47BA7995" w:rsidRDefault="00710AF5" w14:paraId="4D2EF755" w14:textId="655E4259">
      <w:pPr>
        <w:pStyle w:val="Normal"/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  <w:r w:rsidRPr="47BA7995" w:rsidR="0BA4B3A1"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  <w:t>AAAQ FRAMEWORK FOR EDUCATION</w:t>
      </w:r>
    </w:p>
    <w:p w:rsidRPr="00710AF5" w:rsidR="00710AF5" w:rsidP="25B1E9E3" w:rsidRDefault="00710AF5" w14:paraId="59E8A7B6" w14:textId="6C08D677">
      <w:pPr>
        <w:jc w:val="both"/>
        <w:rPr>
          <w:rFonts w:ascii="Univers" w:hAnsi="Univers" w:cs="Calibri" w:cstheme="minorAscii"/>
          <w:sz w:val="20"/>
          <w:szCs w:val="2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817"/>
        <w:gridCol w:w="10228"/>
      </w:tblGrid>
      <w:tr w:rsidRPr="00710AF5" w:rsidR="00710AF5" w:rsidTr="47BA7995" w14:paraId="134554FC" w14:textId="77777777">
        <w:tc>
          <w:tcPr>
            <w:tcW w:w="2817" w:type="dxa"/>
            <w:shd w:val="clear" w:color="auto" w:fill="ED7D31" w:themeFill="accent2"/>
            <w:tcMar/>
          </w:tcPr>
          <w:p w:rsidRPr="00710AF5" w:rsidR="00710AF5" w:rsidP="00256D54" w:rsidRDefault="00710AF5" w14:paraId="4D76DC44" w14:textId="5548AF8D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>AAAQ</w:t>
            </w:r>
            <w:proofErr w:type="spellEnd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 Category</w:t>
            </w:r>
          </w:p>
        </w:tc>
        <w:tc>
          <w:tcPr>
            <w:tcW w:w="10228" w:type="dxa"/>
            <w:shd w:val="clear" w:color="auto" w:fill="ED7D31" w:themeFill="accent2"/>
            <w:tcMar/>
          </w:tcPr>
          <w:p w:rsidRPr="00710AF5" w:rsidR="00710AF5" w:rsidP="00256D54" w:rsidRDefault="00710AF5" w14:paraId="63ECECCD" w14:textId="77777777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Guiding questions for analysis </w:t>
            </w:r>
          </w:p>
        </w:tc>
      </w:tr>
      <w:tr w:rsidRPr="00710AF5" w:rsidR="00810A0C" w:rsidTr="47BA7995" w14:paraId="4D2E2535" w14:textId="77777777">
        <w:tc>
          <w:tcPr>
            <w:tcW w:w="2817" w:type="dxa"/>
            <w:tcMar/>
          </w:tcPr>
          <w:p w:rsidRPr="00122CCF" w:rsidR="00810A0C" w:rsidP="00810A0C" w:rsidRDefault="00810A0C" w14:paraId="65D9F939" w14:textId="77777777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 xml:space="preserve">Availability </w:t>
            </w:r>
          </w:p>
        </w:tc>
        <w:tc>
          <w:tcPr>
            <w:tcW w:w="10228" w:type="dxa"/>
            <w:tcMar/>
          </w:tcPr>
          <w:p w:rsidRPr="00810A0C" w:rsidR="00810A0C" w:rsidP="45641470" w:rsidRDefault="00810A0C" w14:paraId="763AE9F4" w14:textId="304AA93F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45641470" w:rsidR="667C0BD8">
              <w:rPr>
                <w:rFonts w:ascii="Univers" w:hAnsi="Univers" w:cs="Calibri" w:cstheme="minorAscii"/>
                <w:sz w:val="20"/>
                <w:szCs w:val="20"/>
              </w:rPr>
              <w:t>Do</w:t>
            </w:r>
            <w:r w:rsidRPr="45641470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the education services</w:t>
            </w:r>
            <w:r w:rsidRPr="45641470">
              <w:rPr>
                <w:rStyle w:val="FootnoteReference"/>
                <w:rFonts w:ascii="Univers" w:hAnsi="Univers" w:cs="Calibri" w:cstheme="minorAscii"/>
                <w:sz w:val="20"/>
                <w:szCs w:val="20"/>
              </w:rPr>
              <w:footnoteReference w:id="1"/>
            </w:r>
            <w:r w:rsidRPr="45641470" w:rsidR="0639BE7D">
              <w:rPr>
                <w:rFonts w:ascii="Univers" w:hAnsi="Univers" w:cs="Calibri" w:cstheme="minorAscii"/>
                <w:sz w:val="20"/>
                <w:szCs w:val="20"/>
              </w:rPr>
              <w:t xml:space="preserve"> that</w:t>
            </w:r>
            <w:r w:rsidRPr="45641470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are available</w:t>
            </w:r>
            <w:r w:rsidRPr="45641470" w:rsidR="3BDE5646">
              <w:rPr>
                <w:rFonts w:ascii="Univers" w:hAnsi="Univers" w:cs="Calibri" w:cstheme="minorAscii"/>
                <w:sz w:val="20"/>
                <w:szCs w:val="20"/>
              </w:rPr>
              <w:t xml:space="preserve"> (inclusive of digital/online education)</w:t>
            </w:r>
            <w:r w:rsidRPr="45641470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a</w:t>
            </w:r>
            <w:r w:rsidRPr="45641470" w:rsidR="57E1D514">
              <w:rPr>
                <w:rFonts w:ascii="Univers" w:hAnsi="Univers" w:cs="Calibri" w:cstheme="minorAscii"/>
                <w:sz w:val="20"/>
                <w:szCs w:val="20"/>
              </w:rPr>
              <w:t xml:space="preserve">dhere</w:t>
            </w:r>
            <w:r w:rsidRPr="45641470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to the </w:t>
            </w:r>
            <w:r w:rsidRPr="45641470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m</w:t>
            </w:r>
            <w:r w:rsidRPr="45641470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inimum</w:t>
            </w:r>
            <w:r w:rsidRPr="45641470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</w:t>
            </w:r>
            <w:r w:rsidRPr="45641470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standards? </w:t>
            </w:r>
          </w:p>
        </w:tc>
      </w:tr>
      <w:tr w:rsidRPr="00710AF5" w:rsidR="00810A0C" w:rsidTr="47BA7995" w14:paraId="58D50B59" w14:textId="77777777">
        <w:tc>
          <w:tcPr>
            <w:tcW w:w="2817" w:type="dxa"/>
            <w:tcMar/>
          </w:tcPr>
          <w:p w:rsidRPr="00122CCF" w:rsidR="00810A0C" w:rsidP="00810A0C" w:rsidRDefault="00810A0C" w14:paraId="7E564DEC" w14:textId="0AED838E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>Accessibility:</w:t>
            </w:r>
          </w:p>
          <w:p w:rsidRPr="00710AF5" w:rsidR="00810A0C" w:rsidP="00810A0C" w:rsidRDefault="00810A0C" w14:paraId="54DC8C4B" w14:textId="77777777">
            <w:pPr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810A0C" w:rsidP="00810A0C" w:rsidRDefault="00810A0C" w14:paraId="4FF8579C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Physical accessibility </w:t>
            </w:r>
          </w:p>
        </w:tc>
        <w:tc>
          <w:tcPr>
            <w:tcW w:w="10228" w:type="dxa"/>
            <w:tcMar/>
          </w:tcPr>
          <w:p w:rsidRPr="00810A0C" w:rsidR="00810A0C" w:rsidP="45641470" w:rsidRDefault="00810A0C" w14:paraId="314CC988" w14:textId="3FA0249F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Are </w:t>
            </w:r>
            <w:r w:rsidRPr="033CCBF7" w:rsidR="7AE67B36">
              <w:rPr>
                <w:rFonts w:ascii="Univers" w:hAnsi="Univers" w:cs="Calibri" w:cstheme="minorAscii"/>
                <w:sz w:val="20"/>
                <w:szCs w:val="20"/>
              </w:rPr>
              <w:t>e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ducation facilities 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>located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within a 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>reasonable distance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for targeted girls</w:t>
            </w:r>
            <w:r w:rsidRPr="033CCBF7" w:rsidR="327C9EBA">
              <w:rPr>
                <w:rFonts w:ascii="Univers" w:hAnsi="Univers" w:cs="Calibri" w:cstheme="minorAscii"/>
                <w:sz w:val="20"/>
                <w:szCs w:val="20"/>
              </w:rPr>
              <w:t xml:space="preserve">, 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>boys</w:t>
            </w:r>
            <w:r w:rsidRPr="033CCBF7" w:rsidR="1F7BC16B">
              <w:rPr>
                <w:rFonts w:ascii="Univers" w:hAnsi="Univers" w:cs="Calibri" w:cstheme="minorAscii"/>
                <w:sz w:val="20"/>
                <w:szCs w:val="20"/>
              </w:rPr>
              <w:t>,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teachers</w:t>
            </w:r>
            <w:r w:rsidRPr="033CCBF7" w:rsidR="65B1CD71">
              <w:rPr>
                <w:rFonts w:ascii="Univers" w:hAnsi="Univers" w:cs="Calibri" w:cstheme="minorAscii"/>
                <w:sz w:val="20"/>
                <w:szCs w:val="20"/>
              </w:rPr>
              <w:t>, and facilitators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? </w:t>
            </w:r>
          </w:p>
          <w:p w:rsidRPr="00810A0C" w:rsidR="00810A0C" w:rsidP="45641470" w:rsidRDefault="00810A0C" w14:paraId="69DC3049" w14:textId="25C45C3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Is the route to and from the </w:t>
            </w:r>
            <w:r w:rsidRPr="033CCBF7" w:rsidR="6D465871">
              <w:rPr>
                <w:rFonts w:ascii="Univers" w:hAnsi="Univers" w:cs="Calibri" w:cstheme="minorAscii"/>
                <w:sz w:val="20"/>
                <w:szCs w:val="20"/>
              </w:rPr>
              <w:t>e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ducation facility safe to travel for girls and boys </w:t>
            </w:r>
            <w:r w:rsidRPr="033CCBF7" w:rsidR="2CF50B4F">
              <w:rPr>
                <w:rFonts w:ascii="Univers" w:hAnsi="Univers" w:cs="Calibri" w:cstheme="minorAscii"/>
                <w:sz w:val="20"/>
                <w:szCs w:val="20"/>
              </w:rPr>
              <w:t>of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different age</w:t>
            </w:r>
            <w:r w:rsidRPr="033CCBF7" w:rsidR="0AFFFC03">
              <w:rPr>
                <w:rFonts w:ascii="Univers" w:hAnsi="Univers" w:cs="Calibri" w:cstheme="minorAscii"/>
                <w:sz w:val="20"/>
                <w:szCs w:val="20"/>
              </w:rPr>
              <w:t>s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and</w:t>
            </w:r>
            <w:r w:rsidRPr="033CCBF7" w:rsidR="183B6624">
              <w:rPr>
                <w:rFonts w:ascii="Univers" w:hAnsi="Univers" w:cs="Calibri" w:cstheme="minorAscii"/>
                <w:sz w:val="20"/>
                <w:szCs w:val="20"/>
              </w:rPr>
              <w:t xml:space="preserve"> with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disabilities? </w:t>
            </w:r>
          </w:p>
          <w:p w:rsidR="4332AF18" w:rsidP="45641470" w:rsidRDefault="4332AF18" w14:paraId="4A9A64E8" w14:textId="4CBA52C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033CCBF7" w:rsidR="4332AF18">
              <w:rPr>
                <w:rFonts w:ascii="Univers" w:hAnsi="Univers" w:cs="Calibri" w:cstheme="minorAscii"/>
                <w:sz w:val="20"/>
                <w:szCs w:val="20"/>
              </w:rPr>
              <w:t>Are there any safety concerns for girls, boys</w:t>
            </w:r>
            <w:r w:rsidRPr="033CCBF7" w:rsidR="4332AF18">
              <w:rPr>
                <w:rFonts w:ascii="Univers" w:hAnsi="Univers" w:cs="Calibri" w:cstheme="minorAscii"/>
                <w:sz w:val="20"/>
                <w:szCs w:val="20"/>
              </w:rPr>
              <w:t xml:space="preserve">, </w:t>
            </w:r>
            <w:r w:rsidRPr="033CCBF7" w:rsidR="4332AF18">
              <w:rPr>
                <w:rFonts w:ascii="Univers" w:hAnsi="Univers" w:cs="Calibri" w:cstheme="minorAscii"/>
                <w:sz w:val="20"/>
                <w:szCs w:val="20"/>
              </w:rPr>
              <w:t>female</w:t>
            </w:r>
            <w:r w:rsidRPr="033CCBF7" w:rsidR="00D5BD88">
              <w:rPr>
                <w:rFonts w:ascii="Univers" w:hAnsi="Univers" w:cs="Calibri" w:cstheme="minorAscii"/>
                <w:sz w:val="20"/>
                <w:szCs w:val="20"/>
              </w:rPr>
              <w:t xml:space="preserve"> teachers</w:t>
            </w:r>
            <w:r w:rsidRPr="033CCBF7" w:rsidR="4332AF18">
              <w:rPr>
                <w:rFonts w:ascii="Univers" w:hAnsi="Univers" w:cs="Calibri" w:cstheme="minorAscii"/>
                <w:sz w:val="20"/>
                <w:szCs w:val="20"/>
              </w:rPr>
              <w:t>, and male teachers in accessing school?</w:t>
            </w:r>
          </w:p>
          <w:p w:rsidRPr="00810A0C" w:rsidR="00810A0C" w:rsidP="45641470" w:rsidRDefault="00810A0C" w14:paraId="3F353E1B" w14:textId="1599E3F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>Are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there gender</w:t>
            </w:r>
            <w:r w:rsidRPr="033CCBF7" w:rsidR="3C6EEA0B">
              <w:rPr>
                <w:rFonts w:ascii="Univers" w:hAnsi="Univers" w:cs="Calibri" w:cstheme="minorAscii"/>
                <w:sz w:val="20"/>
                <w:szCs w:val="20"/>
              </w:rPr>
              <w:t>-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>segregated latrines in schools?</w:t>
            </w:r>
          </w:p>
          <w:p w:rsidR="0D6E3C94" w:rsidP="45641470" w:rsidRDefault="0D6E3C94" w14:paraId="67ADABA9" w14:textId="6D581B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033CCBF7" w:rsidR="0D6E3C94">
              <w:rPr>
                <w:rFonts w:ascii="Univers" w:hAnsi="Univers" w:cs="Calibri" w:cstheme="minorAscii"/>
                <w:sz w:val="20"/>
                <w:szCs w:val="20"/>
              </w:rPr>
              <w:t xml:space="preserve">Do </w:t>
            </w:r>
            <w:r w:rsidRPr="033CCBF7" w:rsidR="1514D016">
              <w:rPr>
                <w:rFonts w:ascii="Univers" w:hAnsi="Univers" w:cs="Calibri" w:cstheme="minorAscii"/>
                <w:sz w:val="20"/>
                <w:szCs w:val="20"/>
              </w:rPr>
              <w:t xml:space="preserve">school-based </w:t>
            </w:r>
            <w:r w:rsidRPr="033CCBF7" w:rsidR="0D6E3C94">
              <w:rPr>
                <w:rFonts w:ascii="Univers" w:hAnsi="Univers" w:cs="Calibri" w:cstheme="minorAscii"/>
                <w:sz w:val="20"/>
                <w:szCs w:val="20"/>
              </w:rPr>
              <w:t>latrines have doors? Do they have locks?</w:t>
            </w:r>
          </w:p>
          <w:p w:rsidRPr="00810A0C" w:rsidR="00810A0C" w:rsidP="45641470" w:rsidRDefault="00810A0C" w14:paraId="66B56AF4" w14:textId="710B267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Are there other </w:t>
            </w:r>
            <w:r w:rsidRPr="033CCBF7" w:rsidR="00810A0C">
              <w:rPr>
                <w:rFonts w:ascii="Univers" w:hAnsi="Univers" w:cs="Calibri" w:cstheme="minorAscii"/>
                <w:sz w:val="20"/>
                <w:szCs w:val="20"/>
              </w:rPr>
              <w:t xml:space="preserve"> physical barriers, such as armed guards outside the facility? </w:t>
            </w:r>
          </w:p>
        </w:tc>
      </w:tr>
      <w:tr w:rsidRPr="00710AF5" w:rsidR="00810A0C" w:rsidTr="47BA7995" w14:paraId="51098682" w14:textId="77777777">
        <w:tc>
          <w:tcPr>
            <w:tcW w:w="2817" w:type="dxa"/>
            <w:tcMar/>
          </w:tcPr>
          <w:p w:rsidR="00810A0C" w:rsidP="00810A0C" w:rsidRDefault="00810A0C" w14:paraId="6D9B31DA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810A0C" w:rsidP="00810A0C" w:rsidRDefault="00810A0C" w14:paraId="00214714" w14:textId="2BFEEB72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Financial Accessibility</w:t>
            </w:r>
          </w:p>
        </w:tc>
        <w:tc>
          <w:tcPr>
            <w:tcW w:w="10228" w:type="dxa"/>
            <w:tcMar/>
          </w:tcPr>
          <w:p w:rsidRPr="00810A0C" w:rsidR="00810A0C" w:rsidP="45641470" w:rsidRDefault="00810A0C" w14:paraId="0A30E822" w14:textId="0CCA714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Do </w:t>
            </w:r>
            <w:r w:rsidRPr="033CCBF7" w:rsidR="7B22ABAA">
              <w:rPr>
                <w:rFonts w:ascii="Univers" w:hAnsi="Univers"/>
                <w:sz w:val="20"/>
                <w:szCs w:val="20"/>
              </w:rPr>
              <w:t>learn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ers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have to pay a fee</w:t>
            </w:r>
            <w:r w:rsidRPr="033CCBF7" w:rsidR="2326FAA5">
              <w:rPr>
                <w:rFonts w:ascii="Univers" w:hAnsi="Univers"/>
                <w:sz w:val="20"/>
                <w:szCs w:val="20"/>
              </w:rPr>
              <w:t xml:space="preserve"> to access schooling/education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? If so, is the fee reasonable/manageable given the economic circumstances/means? If there a system to provide financial support to those who have no financial means? Who would be the most affected by a fee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?</w:t>
            </w:r>
          </w:p>
          <w:p w:rsidRPr="00810A0C" w:rsidR="00810A0C" w:rsidP="45641470" w:rsidRDefault="00810A0C" w14:paraId="6748058B" w14:textId="7E62CE6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>If no formal fee, are there any other hidden fees such as transportation,</w:t>
            </w:r>
            <w:r w:rsidRPr="033CCBF7" w:rsidR="68A4A6CC">
              <w:rPr>
                <w:rFonts w:ascii="Univers" w:hAnsi="Univers"/>
                <w:sz w:val="20"/>
                <w:szCs w:val="20"/>
              </w:rPr>
              <w:t xml:space="preserve"> uniforms, school materials,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lev</w:t>
            </w:r>
            <w:r w:rsidRPr="033CCBF7" w:rsidR="392F642E">
              <w:rPr>
                <w:rFonts w:ascii="Univers" w:hAnsi="Univers"/>
                <w:sz w:val="20"/>
                <w:szCs w:val="20"/>
              </w:rPr>
              <w:t>ies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16DCCDCD">
              <w:rPr>
                <w:rFonts w:ascii="Univers" w:hAnsi="Univers"/>
                <w:sz w:val="20"/>
                <w:szCs w:val="20"/>
              </w:rPr>
              <w:t>or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others that hinder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children’s access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to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education?</w:t>
            </w:r>
          </w:p>
        </w:tc>
      </w:tr>
      <w:tr w:rsidRPr="00710AF5" w:rsidR="00810A0C" w:rsidTr="47BA7995" w14:paraId="31928F8A" w14:textId="77777777">
        <w:tc>
          <w:tcPr>
            <w:tcW w:w="2817" w:type="dxa"/>
            <w:tcMar/>
          </w:tcPr>
          <w:p w:rsidR="00810A0C" w:rsidP="00810A0C" w:rsidRDefault="00810A0C" w14:paraId="72CB366B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="00810A0C" w:rsidP="00810A0C" w:rsidRDefault="00810A0C" w14:paraId="14B8A70E" w14:textId="75D4764C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Bureaucratic/</w:t>
            </w:r>
          </w:p>
          <w:p w:rsidRPr="00710AF5" w:rsidR="00810A0C" w:rsidP="00810A0C" w:rsidRDefault="00810A0C" w14:paraId="757A138C" w14:textId="131B2DCC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administrative accessibility</w:t>
            </w:r>
          </w:p>
        </w:tc>
        <w:tc>
          <w:tcPr>
            <w:tcW w:w="10228" w:type="dxa"/>
            <w:tcMar/>
          </w:tcPr>
          <w:p w:rsidRPr="00810A0C" w:rsidR="00810A0C" w:rsidP="00810A0C" w:rsidRDefault="00810A0C" w14:paraId="1000F87B" w14:textId="20D706D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Are there procedural steps that learners must complete to enrol in education?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Are there any children who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may be more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negative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ly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a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ffect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ed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73476F0F">
              <w:rPr>
                <w:rFonts w:ascii="Univers" w:hAnsi="Univers"/>
                <w:sz w:val="20"/>
                <w:szCs w:val="20"/>
              </w:rPr>
              <w:t xml:space="preserve">by these procedures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than others?</w:t>
            </w:r>
          </w:p>
          <w:p w:rsidRPr="00810A0C" w:rsidR="00810A0C" w:rsidP="00810A0C" w:rsidRDefault="00810A0C" w14:paraId="10493D16" w14:textId="5F0D2C4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45641470" w:rsidR="00810A0C">
              <w:rPr>
                <w:rFonts w:ascii="Univers" w:hAnsi="Univers"/>
                <w:sz w:val="20"/>
                <w:szCs w:val="20"/>
              </w:rPr>
              <w:t>Do children need to have civil documents such as birth registration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>,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 xml:space="preserve"> documents related to refugee status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>,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 xml:space="preserve"> etc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>.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 xml:space="preserve"> to enrol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 xml:space="preserve"> in schools? If so, is it easy to obtain the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>se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 xml:space="preserve"> documents? Who wo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>u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 xml:space="preserve">ld have 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 xml:space="preserve">particular 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>challenges</w:t>
            </w:r>
            <w:r w:rsidRPr="45641470" w:rsidR="00810A0C">
              <w:rPr>
                <w:rFonts w:ascii="Univers" w:hAnsi="Univers"/>
                <w:sz w:val="20"/>
                <w:szCs w:val="20"/>
              </w:rPr>
              <w:t xml:space="preserve"> in accessing civil documents and thus enrolling in education?</w:t>
            </w:r>
          </w:p>
          <w:p w:rsidRPr="00810A0C" w:rsidR="00810A0C" w:rsidP="00810A0C" w:rsidRDefault="00810A0C" w14:paraId="64B92385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Is there a policy that prevents pregnant girls and married girls from accessing school? </w:t>
            </w:r>
          </w:p>
          <w:p w:rsidRPr="00810A0C" w:rsidR="00810A0C" w:rsidP="00810A0C" w:rsidRDefault="00810A0C" w14:paraId="1C923F49" w14:textId="2648208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>Are there any other bureaucratic/administrative barriers that hinder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girls</w:t>
            </w:r>
            <w:r w:rsidRPr="033CCBF7" w:rsidR="1A2F6928">
              <w:rPr>
                <w:rFonts w:ascii="Univers" w:hAnsi="Univers"/>
                <w:sz w:val="20"/>
                <w:szCs w:val="20"/>
              </w:rPr>
              <w:t>’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/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boys</w:t>
            </w:r>
            <w:r w:rsidRPr="033CCBF7" w:rsidR="549D48EB">
              <w:rPr>
                <w:rFonts w:ascii="Univers" w:hAnsi="Univers"/>
                <w:sz w:val="20"/>
                <w:szCs w:val="20"/>
              </w:rPr>
              <w:t>’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access to education?</w:t>
            </w:r>
          </w:p>
        </w:tc>
      </w:tr>
      <w:tr w:rsidRPr="00710AF5" w:rsidR="00810A0C" w:rsidTr="47BA7995" w14:paraId="545F5C73" w14:textId="77777777">
        <w:tc>
          <w:tcPr>
            <w:tcW w:w="2817" w:type="dxa"/>
            <w:tcMar/>
          </w:tcPr>
          <w:p w:rsidR="00810A0C" w:rsidP="00810A0C" w:rsidRDefault="00810A0C" w14:paraId="3765C9C1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Pr="00710AF5" w:rsidR="00810A0C" w:rsidP="00810A0C" w:rsidRDefault="00810A0C" w14:paraId="5E996790" w14:textId="78F3ADF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Social accessibility</w:t>
            </w:r>
          </w:p>
        </w:tc>
        <w:tc>
          <w:tcPr>
            <w:tcW w:w="10228" w:type="dxa"/>
            <w:tcMar/>
          </w:tcPr>
          <w:p w:rsidRPr="00810A0C" w:rsidR="00810A0C" w:rsidP="00810A0C" w:rsidRDefault="00810A0C" w14:paraId="16A41890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Do schools respect and practice non-discrimination in the provision of services? </w:t>
            </w:r>
          </w:p>
          <w:p w:rsidRPr="00810A0C" w:rsidR="00810A0C" w:rsidP="00810A0C" w:rsidRDefault="00810A0C" w14:paraId="304F1A50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Are certain groups excluded from education because of language barriers? </w:t>
            </w:r>
          </w:p>
          <w:p w:rsidRPr="00810A0C" w:rsidR="00810A0C" w:rsidP="00810A0C" w:rsidRDefault="00810A0C" w14:paraId="65B14C45" w14:textId="77777777" w14:noSpellErr="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Are there female teachers? </w:t>
            </w:r>
          </w:p>
          <w:p w:rsidR="0691A3CB" w:rsidP="45641470" w:rsidRDefault="0691A3CB" w14:paraId="28D6FD4C" w14:textId="42EDD70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691A3CB">
              <w:rPr>
                <w:rFonts w:ascii="Univers" w:hAnsi="Univers"/>
                <w:sz w:val="20"/>
                <w:szCs w:val="20"/>
              </w:rPr>
              <w:t>Are there female headteachers or females in other school-related leadership roles?</w:t>
            </w:r>
          </w:p>
          <w:p w:rsidRPr="00810A0C" w:rsidR="00810A0C" w:rsidP="00810A0C" w:rsidRDefault="00810A0C" w14:paraId="5DC7F1C5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Are there social norms/cultural barriers that hinder girls’ and boys’ access to education?  </w:t>
            </w:r>
          </w:p>
          <w:p w:rsidRPr="00810A0C" w:rsidR="00810A0C" w:rsidP="00810A0C" w:rsidRDefault="00810A0C" w14:paraId="368CD8A1" w14:textId="5A92F2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>Are there social norms/cultural barriers that hinder women from working as teachers?</w:t>
            </w:r>
          </w:p>
        </w:tc>
      </w:tr>
      <w:tr w:rsidRPr="00710AF5" w:rsidR="00810A0C" w:rsidTr="47BA7995" w14:paraId="2871A6A5" w14:textId="77777777">
        <w:trPr>
          <w:trHeight w:val="593"/>
        </w:trPr>
        <w:tc>
          <w:tcPr>
            <w:tcW w:w="2817" w:type="dxa"/>
            <w:tcMar/>
          </w:tcPr>
          <w:p w:rsidRPr="00122CCF" w:rsidR="00810A0C" w:rsidP="00810A0C" w:rsidRDefault="00810A0C" w14:paraId="696A77F3" w14:textId="2F806561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Information accessibility</w:t>
            </w:r>
          </w:p>
        </w:tc>
        <w:tc>
          <w:tcPr>
            <w:tcW w:w="10228" w:type="dxa"/>
            <w:tcMar/>
          </w:tcPr>
          <w:p w:rsidRPr="00810A0C" w:rsidR="00810A0C" w:rsidP="00810A0C" w:rsidRDefault="00810A0C" w14:paraId="5D0B9FE4" w14:textId="77777777" w14:noSpellErr="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How is information about education communicated to the community? </w:t>
            </w:r>
          </w:p>
          <w:p w:rsidR="2BBCD9FD" w:rsidP="45641470" w:rsidRDefault="2BBCD9FD" w14:paraId="39AF7ABF" w14:textId="6C515F7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2BBCD9FD">
              <w:rPr>
                <w:rFonts w:ascii="Univers" w:hAnsi="Univers"/>
                <w:sz w:val="20"/>
                <w:szCs w:val="20"/>
              </w:rPr>
              <w:t>A</w:t>
            </w:r>
            <w:r w:rsidRPr="033CCBF7" w:rsidR="2BBCD9FD">
              <w:rPr>
                <w:rFonts w:ascii="Univers" w:hAnsi="Univers"/>
                <w:sz w:val="20"/>
                <w:szCs w:val="20"/>
              </w:rPr>
              <w:t>re the right persons being targeted for information campaigns</w:t>
            </w:r>
            <w:r w:rsidRPr="033CCBF7" w:rsidR="2BBCD9FD">
              <w:rPr>
                <w:rFonts w:ascii="Univers" w:hAnsi="Univers"/>
                <w:sz w:val="20"/>
                <w:szCs w:val="20"/>
              </w:rPr>
              <w:t xml:space="preserve"> within the community?</w:t>
            </w:r>
          </w:p>
          <w:p w:rsidRPr="00810A0C" w:rsidR="00810A0C" w:rsidP="00810A0C" w:rsidRDefault="00810A0C" w14:paraId="2201D9A7" w14:textId="7ECEBE9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Is there an analysis of who makes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the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decision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regarding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education at home</w:t>
            </w:r>
            <w:r w:rsidRPr="033CCBF7" w:rsidR="2C999161">
              <w:rPr>
                <w:rFonts w:ascii="Univers" w:hAnsi="Univers"/>
                <w:sz w:val="20"/>
                <w:szCs w:val="20"/>
              </w:rPr>
              <w:t>?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810A0C" w:rsidR="00810A0C" w:rsidP="00810A0C" w:rsidRDefault="00810A0C" w14:paraId="3C079DC1" w14:textId="14A9355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Are there any groups of people who </w:t>
            </w:r>
            <w:r>
              <w:rPr>
                <w:rFonts w:ascii="Univers" w:hAnsi="Univers"/>
                <w:sz w:val="20"/>
                <w:szCs w:val="20"/>
              </w:rPr>
              <w:t>are</w:t>
            </w:r>
            <w:r w:rsidRPr="00810A0C">
              <w:rPr>
                <w:rFonts w:ascii="Univers" w:hAnsi="Univers"/>
                <w:sz w:val="20"/>
                <w:szCs w:val="20"/>
              </w:rPr>
              <w:t xml:space="preserve"> unlikely to receive the information?  </w:t>
            </w:r>
          </w:p>
          <w:p w:rsidRPr="00810A0C" w:rsidR="00810A0C" w:rsidP="00810A0C" w:rsidRDefault="00810A0C" w14:paraId="0B3BD6E6" w14:textId="2D8879C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Are there alternatives to printed information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in order to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reach illiterate</w:t>
            </w:r>
            <w:r w:rsidRPr="033CCBF7" w:rsidR="22BB427D">
              <w:rPr>
                <w:rFonts w:ascii="Univers" w:hAnsi="Univers"/>
                <w:sz w:val="20"/>
                <w:szCs w:val="20"/>
              </w:rPr>
              <w:t xml:space="preserve"> or non-native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members of the community? </w:t>
            </w:r>
          </w:p>
          <w:p w:rsidRPr="00810A0C" w:rsidR="00810A0C" w:rsidP="00810A0C" w:rsidRDefault="00810A0C" w14:paraId="68052537" w14:textId="11AFEA9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>Is personal information treated confidentially?</w:t>
            </w:r>
          </w:p>
        </w:tc>
      </w:tr>
      <w:tr w:rsidR="00810A0C" w:rsidTr="47BA7995" w14:paraId="7DD697CD" w14:textId="77777777">
        <w:tc>
          <w:tcPr>
            <w:tcW w:w="2817" w:type="dxa"/>
            <w:tcMar/>
          </w:tcPr>
          <w:p w:rsidRPr="00122CCF" w:rsidR="00810A0C" w:rsidP="00810A0C" w:rsidRDefault="00810A0C" w14:paraId="54D6AFA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>Acceptability</w:t>
            </w:r>
          </w:p>
        </w:tc>
        <w:tc>
          <w:tcPr>
            <w:tcW w:w="10228" w:type="dxa"/>
            <w:tcMar/>
          </w:tcPr>
          <w:p w:rsidRPr="00810A0C" w:rsidR="00810A0C" w:rsidP="00810A0C" w:rsidRDefault="00810A0C" w14:paraId="28BC1BDC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Are the opinions of target groups, girls and boys reflected in education services? </w:t>
            </w:r>
          </w:p>
          <w:p w:rsidRPr="00810A0C" w:rsidR="00810A0C" w:rsidP="00810A0C" w:rsidRDefault="00810A0C" w14:paraId="53859D03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Are schools respectful of the culture of individuals, minorities, peoples and communities? </w:t>
            </w:r>
          </w:p>
          <w:p w:rsidRPr="00810A0C" w:rsidR="00810A0C" w:rsidP="00810A0C" w:rsidRDefault="00810A0C" w14:paraId="47E570FA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>Are schools respectful and open to girls who are pregnant and married?</w:t>
            </w:r>
          </w:p>
          <w:p w:rsidRPr="00810A0C" w:rsidR="00810A0C" w:rsidP="00810A0C" w:rsidRDefault="00810A0C" w14:paraId="482C0E72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Is the education service gender-sensitive for both students and teachers? </w:t>
            </w:r>
          </w:p>
          <w:p w:rsidRPr="00810A0C" w:rsidR="00810A0C" w:rsidP="00810A0C" w:rsidRDefault="00810A0C" w14:paraId="5D330D45" w14:textId="718B441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>Are there certain characteristics of the education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process/structure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(gender balance of teachers,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attitude/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behaviors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of teachers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,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3C7B3FA5">
              <w:rPr>
                <w:rFonts w:ascii="Univers" w:hAnsi="Univers"/>
                <w:sz w:val="20"/>
                <w:szCs w:val="20"/>
              </w:rPr>
              <w:t xml:space="preserve">efforts to achieve social inclusion (or lack thereof,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etc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.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) that make the community more/less comfortable accessing services?</w:t>
            </w:r>
          </w:p>
          <w:p w:rsidRPr="00810A0C" w:rsidR="00810A0C" w:rsidP="00810A0C" w:rsidRDefault="00810A0C" w14:paraId="161D51C4" w14:textId="0C570E0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 xml:space="preserve">Are there adequate numbers of female teachers? If not, </w:t>
            </w:r>
            <w:r>
              <w:rPr>
                <w:rFonts w:ascii="Univers" w:hAnsi="Univers"/>
                <w:sz w:val="20"/>
                <w:szCs w:val="20"/>
              </w:rPr>
              <w:t>is</w:t>
            </w:r>
            <w:r w:rsidRPr="00810A0C">
              <w:rPr>
                <w:rFonts w:ascii="Univers" w:hAnsi="Univers"/>
                <w:sz w:val="20"/>
                <w:szCs w:val="20"/>
              </w:rPr>
              <w:t xml:space="preserve"> there a plan to increase numbers of female teachers?</w:t>
            </w:r>
          </w:p>
        </w:tc>
      </w:tr>
      <w:tr w:rsidR="00810A0C" w:rsidTr="47BA7995" w14:paraId="0B0291FA" w14:textId="77777777">
        <w:tc>
          <w:tcPr>
            <w:tcW w:w="2817" w:type="dxa"/>
            <w:tcMar/>
          </w:tcPr>
          <w:p w:rsidRPr="00122CCF" w:rsidR="00810A0C" w:rsidP="00810A0C" w:rsidRDefault="00810A0C" w14:paraId="2C8A9E3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 xml:space="preserve">Quality </w:t>
            </w:r>
          </w:p>
        </w:tc>
        <w:tc>
          <w:tcPr>
            <w:tcW w:w="10228" w:type="dxa"/>
            <w:tcMar/>
          </w:tcPr>
          <w:p w:rsidRPr="00810A0C" w:rsidR="00810A0C" w:rsidP="00810A0C" w:rsidRDefault="00810A0C" w14:paraId="45BFA391" w14:textId="5B6C9A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810A0C">
              <w:rPr>
                <w:rFonts w:ascii="Univers" w:hAnsi="Univers"/>
                <w:sz w:val="20"/>
                <w:szCs w:val="20"/>
              </w:rPr>
              <w:t>Is there a Code of Conduct (</w:t>
            </w:r>
            <w:proofErr w:type="spellStart"/>
            <w:r w:rsidRPr="00810A0C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810A0C">
              <w:rPr>
                <w:rFonts w:ascii="Univers" w:hAnsi="Univers"/>
                <w:sz w:val="20"/>
                <w:szCs w:val="20"/>
              </w:rPr>
              <w:t>) for teachers which include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810A0C">
              <w:rPr>
                <w:rFonts w:ascii="Univers" w:hAnsi="Univers"/>
                <w:sz w:val="20"/>
                <w:szCs w:val="20"/>
              </w:rPr>
              <w:t xml:space="preserve"> </w:t>
            </w:r>
            <w:proofErr w:type="spellStart"/>
            <w:r w:rsidRPr="00810A0C">
              <w:rPr>
                <w:rFonts w:ascii="Univers" w:hAnsi="Univers"/>
                <w:sz w:val="20"/>
                <w:szCs w:val="20"/>
              </w:rPr>
              <w:t>PSEA</w:t>
            </w:r>
            <w:proofErr w:type="spellEnd"/>
            <w:r w:rsidRPr="00810A0C">
              <w:rPr>
                <w:rFonts w:ascii="Univers" w:hAnsi="Univers"/>
                <w:sz w:val="20"/>
                <w:szCs w:val="20"/>
              </w:rPr>
              <w:t xml:space="preserve"> and child safeguarding? Are teachers trained</w:t>
            </w:r>
            <w:r>
              <w:rPr>
                <w:rFonts w:ascii="Univers" w:hAnsi="Univers"/>
                <w:sz w:val="20"/>
                <w:szCs w:val="20"/>
              </w:rPr>
              <w:t xml:space="preserve"> on</w:t>
            </w:r>
            <w:r w:rsidRPr="00810A0C">
              <w:rPr>
                <w:rFonts w:ascii="Univers" w:hAnsi="Univers"/>
                <w:sz w:val="20"/>
                <w:szCs w:val="20"/>
              </w:rPr>
              <w:t xml:space="preserve"> and </w:t>
            </w:r>
            <w:r>
              <w:rPr>
                <w:rFonts w:ascii="Univers" w:hAnsi="Univers"/>
                <w:sz w:val="20"/>
                <w:szCs w:val="20"/>
              </w:rPr>
              <w:t xml:space="preserve">have they </w:t>
            </w:r>
            <w:r w:rsidRPr="00810A0C">
              <w:rPr>
                <w:rFonts w:ascii="Univers" w:hAnsi="Univers"/>
                <w:sz w:val="20"/>
                <w:szCs w:val="20"/>
              </w:rPr>
              <w:t xml:space="preserve">signed the </w:t>
            </w:r>
            <w:proofErr w:type="spellStart"/>
            <w:r w:rsidRPr="00810A0C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810A0C">
              <w:rPr>
                <w:rFonts w:ascii="Univers" w:hAnsi="Univers"/>
                <w:sz w:val="20"/>
                <w:szCs w:val="20"/>
              </w:rPr>
              <w:t>?</w:t>
            </w:r>
          </w:p>
          <w:p w:rsidRPr="00810A0C" w:rsidR="00810A0C" w:rsidP="00810A0C" w:rsidRDefault="00810A0C" w14:paraId="63F2C452" w14:textId="2A8AF38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Do teachers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possess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the necessary skills </w:t>
            </w:r>
            <w:r w:rsidRPr="033CCBF7" w:rsidR="7663F37E">
              <w:rPr>
                <w:rFonts w:ascii="Univers" w:hAnsi="Univers"/>
                <w:sz w:val="20"/>
                <w:szCs w:val="20"/>
              </w:rPr>
              <w:t xml:space="preserve">and knowledge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for teaching</w:t>
            </w:r>
            <w:r w:rsidRPr="033CCBF7" w:rsidR="6A6169B0">
              <w:rPr>
                <w:rFonts w:ascii="Univers" w:hAnsi="Univers"/>
                <w:sz w:val="20"/>
                <w:szCs w:val="20"/>
              </w:rPr>
              <w:t xml:space="preserve"> effectively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?</w:t>
            </w:r>
          </w:p>
          <w:p w:rsidRPr="00810A0C" w:rsidR="00810A0C" w:rsidP="00810A0C" w:rsidRDefault="00810A0C" w14:paraId="7362650A" w14:textId="77777777" w14:noSpellErr="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Do teachers know how to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ethically and safely refer GBV survivors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to services?</w:t>
            </w:r>
          </w:p>
          <w:p w:rsidRPr="00810A0C" w:rsidR="00810A0C" w:rsidP="00810A0C" w:rsidRDefault="00810A0C" w14:paraId="20CB1603" w14:textId="1665A2C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>Does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the quality of education meet the </w:t>
            </w:r>
            <w:r w:rsidRPr="033CCBF7" w:rsidR="0A45FCAB">
              <w:rPr>
                <w:rFonts w:ascii="Univers" w:hAnsi="Univers"/>
                <w:sz w:val="20"/>
                <w:szCs w:val="20"/>
              </w:rPr>
              <w:t xml:space="preserve">national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education</w:t>
            </w:r>
            <w:r w:rsidRPr="033CCBF7" w:rsidR="53D558E4">
              <w:rPr>
                <w:rFonts w:ascii="Univers" w:hAnsi="Univers"/>
                <w:sz w:val="20"/>
                <w:szCs w:val="20"/>
              </w:rPr>
              <w:t xml:space="preserve"> sector’s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minimum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standards</w:t>
            </w:r>
            <w:r w:rsidRPr="033CCBF7" w:rsidR="4E1461D2">
              <w:rPr>
                <w:rFonts w:ascii="Univers" w:hAnsi="Univers"/>
                <w:sz w:val="20"/>
                <w:szCs w:val="20"/>
              </w:rPr>
              <w:t xml:space="preserve"> (teacher training/capacit</w:t>
            </w:r>
            <w:r w:rsidRPr="033CCBF7" w:rsidR="2E20A20D">
              <w:rPr>
                <w:rFonts w:ascii="Univers" w:hAnsi="Univers"/>
                <w:sz w:val="20"/>
                <w:szCs w:val="20"/>
              </w:rPr>
              <w:t>y/</w:t>
            </w:r>
            <w:r w:rsidRPr="033CCBF7" w:rsidR="4E1461D2">
              <w:rPr>
                <w:rFonts w:ascii="Univers" w:hAnsi="Univers"/>
                <w:sz w:val="20"/>
                <w:szCs w:val="20"/>
              </w:rPr>
              <w:t>skills</w:t>
            </w:r>
            <w:r w:rsidRPr="033CCBF7" w:rsidR="6E281778">
              <w:rPr>
                <w:rFonts w:ascii="Univers" w:hAnsi="Univers"/>
                <w:sz w:val="20"/>
                <w:szCs w:val="20"/>
              </w:rPr>
              <w:t>;</w:t>
            </w:r>
            <w:r w:rsidRPr="033CCBF7" w:rsidR="4E1461D2">
              <w:rPr>
                <w:rFonts w:ascii="Univers" w:hAnsi="Univers"/>
                <w:sz w:val="20"/>
                <w:szCs w:val="20"/>
              </w:rPr>
              <w:t xml:space="preserve"> subject matte</w:t>
            </w:r>
            <w:r w:rsidRPr="033CCBF7" w:rsidR="51BE15F0">
              <w:rPr>
                <w:rFonts w:ascii="Univers" w:hAnsi="Univers"/>
                <w:sz w:val="20"/>
                <w:szCs w:val="20"/>
              </w:rPr>
              <w:t>r knowledge</w:t>
            </w:r>
            <w:r w:rsidRPr="033CCBF7" w:rsidR="192CDF5D">
              <w:rPr>
                <w:rFonts w:ascii="Univers" w:hAnsi="Univers"/>
                <w:sz w:val="20"/>
                <w:szCs w:val="20"/>
              </w:rPr>
              <w:t>;</w:t>
            </w:r>
            <w:r w:rsidRPr="033CCBF7" w:rsidR="51BE15F0">
              <w:rPr>
                <w:rFonts w:ascii="Univers" w:hAnsi="Univers"/>
                <w:sz w:val="20"/>
                <w:szCs w:val="20"/>
              </w:rPr>
              <w:t xml:space="preserve"> classroom management</w:t>
            </w:r>
            <w:r w:rsidRPr="033CCBF7" w:rsidR="321910F4">
              <w:rPr>
                <w:rFonts w:ascii="Univers" w:hAnsi="Univers"/>
                <w:sz w:val="20"/>
                <w:szCs w:val="20"/>
              </w:rPr>
              <w:t>;</w:t>
            </w:r>
            <w:r w:rsidRPr="033CCBF7" w:rsidR="51BE15F0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51BE15F0">
              <w:rPr>
                <w:rFonts w:ascii="Univers" w:hAnsi="Univers"/>
                <w:sz w:val="20"/>
                <w:szCs w:val="20"/>
              </w:rPr>
              <w:t>utilization</w:t>
            </w:r>
            <w:r w:rsidRPr="033CCBF7" w:rsidR="51BE15F0">
              <w:rPr>
                <w:rFonts w:ascii="Univers" w:hAnsi="Univers"/>
                <w:sz w:val="20"/>
                <w:szCs w:val="20"/>
              </w:rPr>
              <w:t xml:space="preserve"> of teaching and learning resources where they exist, </w:t>
            </w:r>
            <w:r w:rsidRPr="033CCBF7" w:rsidR="51BE15F0">
              <w:rPr>
                <w:rFonts w:ascii="Univers" w:hAnsi="Univers"/>
                <w:sz w:val="20"/>
                <w:szCs w:val="20"/>
              </w:rPr>
              <w:t>etc.</w:t>
            </w:r>
            <w:r w:rsidRPr="033CCBF7" w:rsidR="4E1461D2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?</w:t>
            </w:r>
          </w:p>
          <w:p w:rsidR="5A8404B1" w:rsidP="033CCBF7" w:rsidRDefault="5A8404B1" w14:paraId="33AA8783" w14:textId="41A468F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5A8404B1">
              <w:rPr>
                <w:rFonts w:ascii="Univers" w:hAnsi="Univers"/>
                <w:sz w:val="20"/>
                <w:szCs w:val="20"/>
              </w:rPr>
              <w:t>Do schools/learning facilities meet safety and infrastructure standards?</w:t>
            </w:r>
          </w:p>
          <w:p w:rsidRPr="00810A0C" w:rsidR="00810A0C" w:rsidP="00810A0C" w:rsidRDefault="00810A0C" w14:paraId="699818F6" w14:textId="490AAE9A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Do all children regardless </w:t>
            </w:r>
            <w:r w:rsidRPr="033CCBF7" w:rsidR="19D1DA33">
              <w:rPr>
                <w:rFonts w:ascii="Univers" w:hAnsi="Univers"/>
                <w:sz w:val="20"/>
                <w:szCs w:val="20"/>
              </w:rPr>
              <w:t xml:space="preserve">of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sex, age, disability</w:t>
            </w:r>
            <w:r w:rsidRPr="033CCBF7" w:rsidR="645E784B">
              <w:rPr>
                <w:rFonts w:ascii="Univers" w:hAnsi="Univers"/>
                <w:sz w:val="20"/>
                <w:szCs w:val="20"/>
              </w:rPr>
              <w:t xml:space="preserve">, first </w:t>
            </w:r>
            <w:r w:rsidRPr="033CCBF7" w:rsidR="645E784B">
              <w:rPr>
                <w:rFonts w:ascii="Univers" w:hAnsi="Univers"/>
                <w:sz w:val="20"/>
                <w:szCs w:val="20"/>
              </w:rPr>
              <w:t>language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and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social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status such as refugee, 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IDPs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,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etc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>.</w:t>
            </w:r>
            <w:r w:rsidRPr="033CCBF7" w:rsidR="00810A0C">
              <w:rPr>
                <w:rFonts w:ascii="Univers" w:hAnsi="Univers"/>
                <w:sz w:val="20"/>
                <w:szCs w:val="20"/>
              </w:rPr>
              <w:t xml:space="preserve"> feel respected in schools? </w:t>
            </w:r>
          </w:p>
        </w:tc>
      </w:tr>
    </w:tbl>
    <w:p w:rsidRPr="00710AF5" w:rsidR="0030299B" w:rsidRDefault="0030299B" w14:paraId="7ED24637" w14:textId="5790CEC9">
      <w:pPr>
        <w:rPr>
          <w:rFonts w:ascii="Univers" w:hAnsi="Univers"/>
          <w:sz w:val="20"/>
          <w:szCs w:val="20"/>
        </w:rPr>
      </w:pPr>
    </w:p>
    <w:sectPr w:rsidRPr="00710AF5" w:rsidR="00A971D5" w:rsidSect="00710AF5">
      <w:pgSz w:w="15840" w:h="12240" w:orient="landscape"/>
      <w:pgMar w:top="1584" w:right="1440" w:bottom="1440" w:left="1440" w:header="720" w:footer="720" w:gutter="0"/>
      <w:cols w:space="720"/>
      <w:docGrid w:linePitch="360"/>
      <w:footerReference w:type="default" r:id="R07aec7de80de49b0"/>
      <w:titlePg w:val="1"/>
      <w:headerReference w:type="default" r:id="R11637b5f280c4694"/>
      <w:headerReference w:type="first" r:id="R949e8a5c8aea427b"/>
      <w:footerReference w:type="first" r:id="Rf4b5de7febb04a7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99B" w:rsidP="00710AF5" w:rsidRDefault="0030299B" w14:paraId="63E8131A" w14:textId="77777777">
      <w:r>
        <w:separator/>
      </w:r>
    </w:p>
  </w:endnote>
  <w:endnote w:type="continuationSeparator" w:id="0">
    <w:p w:rsidR="0030299B" w:rsidP="00710AF5" w:rsidRDefault="0030299B" w14:paraId="65BE76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5B1E9E3" w:rsidTr="25B1E9E3" w14:paraId="0CBAA215">
      <w:trPr>
        <w:trHeight w:val="300"/>
      </w:trPr>
      <w:tc>
        <w:tcPr>
          <w:tcW w:w="4320" w:type="dxa"/>
          <w:tcMar/>
        </w:tcPr>
        <w:p w:rsidR="25B1E9E3" w:rsidP="25B1E9E3" w:rsidRDefault="25B1E9E3" w14:paraId="6AAD695B" w14:textId="21D0944E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25B1E9E3" w:rsidP="25B1E9E3" w:rsidRDefault="25B1E9E3" w14:paraId="3914BFD9" w14:textId="71A268FC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25B1E9E3" w:rsidP="25B1E9E3" w:rsidRDefault="25B1E9E3" w14:paraId="4A3579F7" w14:textId="2E7E7937">
          <w:pPr>
            <w:pStyle w:val="Header"/>
            <w:bidi w:val="0"/>
            <w:ind w:right="-115"/>
            <w:jc w:val="right"/>
          </w:pPr>
        </w:p>
      </w:tc>
    </w:tr>
  </w:tbl>
  <w:p w:rsidR="25B1E9E3" w:rsidP="25B1E9E3" w:rsidRDefault="25B1E9E3" w14:paraId="717CBCF2" w14:textId="3E7C4C8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BA7995" w:rsidTr="47BA7995" w14:paraId="539D1F40">
      <w:trPr>
        <w:trHeight w:val="300"/>
      </w:trPr>
      <w:tc>
        <w:tcPr>
          <w:tcW w:w="4320" w:type="dxa"/>
          <w:tcMar/>
        </w:tcPr>
        <w:p w:rsidR="47BA7995" w:rsidP="47BA7995" w:rsidRDefault="47BA7995" w14:paraId="27D612D2" w14:textId="2328A144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7BA7995" w:rsidP="47BA7995" w:rsidRDefault="47BA7995" w14:paraId="11ADAF51" w14:textId="76A37505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7BA7995" w:rsidP="47BA7995" w:rsidRDefault="47BA7995" w14:paraId="077147AC" w14:textId="0CDBA258">
          <w:pPr>
            <w:pStyle w:val="Header"/>
            <w:bidi w:val="0"/>
            <w:ind w:right="-115"/>
            <w:jc w:val="right"/>
          </w:pPr>
        </w:p>
      </w:tc>
    </w:tr>
  </w:tbl>
  <w:p w:rsidR="47BA7995" w:rsidP="47BA7995" w:rsidRDefault="47BA7995" w14:paraId="48CD81DB" w14:textId="344B44B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99B" w:rsidP="00710AF5" w:rsidRDefault="0030299B" w14:paraId="6CB64F5D" w14:textId="77777777">
      <w:r>
        <w:separator/>
      </w:r>
    </w:p>
  </w:footnote>
  <w:footnote w:type="continuationSeparator" w:id="0">
    <w:p w:rsidR="0030299B" w:rsidP="00710AF5" w:rsidRDefault="0030299B" w14:paraId="57685B9B" w14:textId="77777777">
      <w:r>
        <w:continuationSeparator/>
      </w:r>
    </w:p>
  </w:footnote>
  <w:footnote w:id="1">
    <w:p w:rsidRPr="00B53BDB" w:rsidR="00810A0C" w:rsidP="00B53BDB" w:rsidRDefault="00810A0C" w14:paraId="4E417E9E" w14:textId="7865E218">
      <w:pPr>
        <w:pStyle w:val="FootnoteText"/>
        <w:jc w:val="left"/>
      </w:pPr>
      <w:r>
        <w:rPr>
          <w:rStyle w:val="FootnoteReference"/>
        </w:rPr>
        <w:footnoteRef/>
      </w:r>
      <w:r w:rsidR="45641470">
        <w:rPr/>
        <w:t xml:space="preserve"> This includes any education services and facilities such as schools, </w:t>
      </w:r>
      <w:r w:rsidR="45641470">
        <w:rPr/>
        <w:t>ECD</w:t>
      </w:r>
      <w:r w:rsidR="45641470">
        <w:rPr/>
        <w:t xml:space="preserve"> centres, any </w:t>
      </w:r>
      <w:r w:rsidR="45641470">
        <w:rPr/>
        <w:t xml:space="preserve">space/</w:t>
      </w:r>
      <w:r w:rsidR="45641470">
        <w:rPr/>
        <w:t xml:space="preserve">place where alternative education is provided, and any </w:t>
      </w:r>
      <w:r w:rsidR="45641470">
        <w:rPr/>
        <w:t xml:space="preserve">spaces/</w:t>
      </w:r>
      <w:r w:rsidR="45641470">
        <w:rPr/>
        <w:t xml:space="preserve">places where community mobilisation or information campaign</w:t>
      </w:r>
      <w:r w:rsidR="45641470">
        <w:rPr/>
        <w:t xml:space="preserve">s</w:t>
      </w:r>
      <w:r w:rsidR="45641470">
        <w:rPr/>
        <w:t xml:space="preserve"> </w:t>
      </w:r>
      <w:r w:rsidR="45641470">
        <w:rPr/>
        <w:t xml:space="preserve">happen</w:t>
      </w:r>
      <w:r w:rsidR="45641470">
        <w:rPr/>
        <w:t xml:space="preserve">. </w:t>
      </w:r>
    </w:p>
  </w:footnote>
  <w:footnote w:id="22204">
    <w:p w:rsidR="47BA7995" w:rsidP="47BA7995" w:rsidRDefault="47BA7995" w14:paraId="03D4620E" w14:textId="0AEB01D5">
      <w:pPr>
        <w:pStyle w:val="FootnoteText"/>
        <w:bidi w:val="0"/>
        <w:jc w:val="left"/>
      </w:pPr>
      <w:r w:rsidRPr="47BA7995">
        <w:rPr>
          <w:rStyle w:val="FootnoteReference"/>
        </w:rPr>
        <w:footnoteRef/>
      </w:r>
      <w:r w:rsidR="47BA7995">
        <w:rPr/>
        <w:t xml:space="preserve"> </w:t>
      </w:r>
      <w:r w:rsidRPr="47BA7995" w:rsidR="47BA7995">
        <w:rPr>
          <w:rFonts w:ascii="Aptos" w:hAnsi="Aptos" w:eastAsia="Aptos" w:cs="Aptos"/>
          <w:noProof w:val="0"/>
          <w:sz w:val="20"/>
          <w:szCs w:val="20"/>
          <w:lang w:val="en-GB"/>
        </w:rPr>
        <w:t>NOTE – this course will require a separate registration on CARE’s online learning platform, Disco.</w:t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BA7995" w:rsidTr="47BA7995" w14:paraId="733DF785">
      <w:trPr>
        <w:trHeight w:val="300"/>
      </w:trPr>
      <w:tc>
        <w:tcPr>
          <w:tcW w:w="4320" w:type="dxa"/>
          <w:tcMar/>
        </w:tcPr>
        <w:p w:rsidR="47BA7995" w:rsidP="47BA7995" w:rsidRDefault="47BA7995" w14:paraId="64913652" w14:textId="34952AEA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7BA7995" w:rsidP="47BA7995" w:rsidRDefault="47BA7995" w14:paraId="79AAEB14" w14:textId="6FACD72D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7BA7995" w:rsidP="47BA7995" w:rsidRDefault="47BA7995" w14:paraId="4AA5BA66" w14:textId="6F272215">
          <w:pPr>
            <w:pStyle w:val="Header"/>
            <w:bidi w:val="0"/>
            <w:ind w:right="-115"/>
            <w:jc w:val="right"/>
          </w:pPr>
        </w:p>
      </w:tc>
    </w:tr>
  </w:tbl>
  <w:p w:rsidR="47BA7995" w:rsidP="47BA7995" w:rsidRDefault="47BA7995" w14:paraId="4D354209" w14:textId="3A39D9D8">
    <w:pPr>
      <w:pStyle w:val="Header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2960"/>
    </w:tblGrid>
    <w:tr w:rsidR="47BA7995" w:rsidTr="47BA7995" w14:paraId="32EF025B">
      <w:trPr>
        <w:trHeight w:val="300"/>
      </w:trPr>
      <w:tc>
        <w:tcPr>
          <w:tcW w:w="12960" w:type="dxa"/>
          <w:tcMar/>
        </w:tcPr>
        <w:p w:rsidR="47BA7995" w:rsidP="47BA7995" w:rsidRDefault="47BA7995" w14:paraId="57F4CF08" w14:textId="2653CC6A">
          <w:pPr>
            <w:pStyle w:val="Header"/>
            <w:bidi w:val="0"/>
            <w:ind w:left="-115"/>
            <w:jc w:val="left"/>
          </w:pPr>
          <w:r w:rsidR="47BA7995">
            <w:drawing>
              <wp:inline wp14:editId="552803CC" wp14:anchorId="38DAB473">
                <wp:extent cx="8096250" cy="1057275"/>
                <wp:effectExtent l="0" t="0" r="0" b="0"/>
                <wp:docPr id="167821608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8216082" name="Picture 167821608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1984754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096250" cy="10572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7BA7995" w:rsidP="47BA7995" w:rsidRDefault="47BA7995" w14:paraId="3B7F30AA" w14:textId="4582FF1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5d83a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1440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9a72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25C01"/>
    <w:multiLevelType w:val="hybridMultilevel"/>
    <w:tmpl w:val="9632A2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6CA7FBF"/>
    <w:multiLevelType w:val="hybridMultilevel"/>
    <w:tmpl w:val="47F632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CDC4F1B"/>
    <w:multiLevelType w:val="hybridMultilevel"/>
    <w:tmpl w:val="EF8439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7D53E62"/>
    <w:multiLevelType w:val="hybridMultilevel"/>
    <w:tmpl w:val="E87A36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3677CA3"/>
    <w:multiLevelType w:val="hybridMultilevel"/>
    <w:tmpl w:val="862601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716316974">
    <w:abstractNumId w:val="2"/>
  </w:num>
  <w:num w:numId="2" w16cid:durableId="1549296352">
    <w:abstractNumId w:val="3"/>
  </w:num>
  <w:num w:numId="3" w16cid:durableId="54552234">
    <w:abstractNumId w:val="0"/>
  </w:num>
  <w:num w:numId="4" w16cid:durableId="1611812608">
    <w:abstractNumId w:val="1"/>
  </w:num>
  <w:num w:numId="5" w16cid:durableId="195189075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5"/>
    <w:rsid w:val="00122CCF"/>
    <w:rsid w:val="001322D3"/>
    <w:rsid w:val="0014453F"/>
    <w:rsid w:val="0030299B"/>
    <w:rsid w:val="00710AF5"/>
    <w:rsid w:val="00810A0C"/>
    <w:rsid w:val="00812362"/>
    <w:rsid w:val="00952FC4"/>
    <w:rsid w:val="009C56B6"/>
    <w:rsid w:val="00D5BD88"/>
    <w:rsid w:val="02D90965"/>
    <w:rsid w:val="0302592F"/>
    <w:rsid w:val="033CCBF7"/>
    <w:rsid w:val="0477562C"/>
    <w:rsid w:val="04D09918"/>
    <w:rsid w:val="05AAFB15"/>
    <w:rsid w:val="0639BE7D"/>
    <w:rsid w:val="0691A3CB"/>
    <w:rsid w:val="09FBDAEC"/>
    <w:rsid w:val="0A45FCAB"/>
    <w:rsid w:val="0A786A1D"/>
    <w:rsid w:val="0AFFFC03"/>
    <w:rsid w:val="0B3A93C0"/>
    <w:rsid w:val="0B6CCADC"/>
    <w:rsid w:val="0BA4B3A1"/>
    <w:rsid w:val="0CAB6A0B"/>
    <w:rsid w:val="0D6E3C94"/>
    <w:rsid w:val="0DF9D99E"/>
    <w:rsid w:val="1514D016"/>
    <w:rsid w:val="1515AA6A"/>
    <w:rsid w:val="16DCCDCD"/>
    <w:rsid w:val="182B8C56"/>
    <w:rsid w:val="183B6624"/>
    <w:rsid w:val="192CDF5D"/>
    <w:rsid w:val="19D1DA33"/>
    <w:rsid w:val="1A2F6928"/>
    <w:rsid w:val="1B9D535B"/>
    <w:rsid w:val="1CC6354A"/>
    <w:rsid w:val="1F7BC16B"/>
    <w:rsid w:val="202C71EB"/>
    <w:rsid w:val="2110BD05"/>
    <w:rsid w:val="22BB427D"/>
    <w:rsid w:val="22E059DA"/>
    <w:rsid w:val="2326FAA5"/>
    <w:rsid w:val="2364D2D7"/>
    <w:rsid w:val="23729788"/>
    <w:rsid w:val="24F11765"/>
    <w:rsid w:val="25B1E9E3"/>
    <w:rsid w:val="2ABA83F5"/>
    <w:rsid w:val="2BBCD9FD"/>
    <w:rsid w:val="2C999161"/>
    <w:rsid w:val="2CF50B4F"/>
    <w:rsid w:val="2E20A20D"/>
    <w:rsid w:val="320A95F0"/>
    <w:rsid w:val="321910F4"/>
    <w:rsid w:val="327C9EBA"/>
    <w:rsid w:val="392F642E"/>
    <w:rsid w:val="3990E303"/>
    <w:rsid w:val="3B5CAB78"/>
    <w:rsid w:val="3BDE5646"/>
    <w:rsid w:val="3C5B1CCD"/>
    <w:rsid w:val="3C6EEA0B"/>
    <w:rsid w:val="3C7B3FA5"/>
    <w:rsid w:val="3CFDF98A"/>
    <w:rsid w:val="4129BF04"/>
    <w:rsid w:val="4332AF18"/>
    <w:rsid w:val="45641470"/>
    <w:rsid w:val="47BA7995"/>
    <w:rsid w:val="47F0883B"/>
    <w:rsid w:val="4D82FC6F"/>
    <w:rsid w:val="4E1461D2"/>
    <w:rsid w:val="51BE15F0"/>
    <w:rsid w:val="527F4120"/>
    <w:rsid w:val="52838CE7"/>
    <w:rsid w:val="53691F7A"/>
    <w:rsid w:val="53D558E4"/>
    <w:rsid w:val="5426B21B"/>
    <w:rsid w:val="549D48EB"/>
    <w:rsid w:val="57E1D514"/>
    <w:rsid w:val="593D613B"/>
    <w:rsid w:val="5A8404B1"/>
    <w:rsid w:val="5A9C7087"/>
    <w:rsid w:val="5ACB1272"/>
    <w:rsid w:val="62066843"/>
    <w:rsid w:val="63244676"/>
    <w:rsid w:val="645E784B"/>
    <w:rsid w:val="648A5B8A"/>
    <w:rsid w:val="65B1CD71"/>
    <w:rsid w:val="667C0BD8"/>
    <w:rsid w:val="66FC9640"/>
    <w:rsid w:val="687E717C"/>
    <w:rsid w:val="68A4A6CC"/>
    <w:rsid w:val="68A6EE0C"/>
    <w:rsid w:val="6995F5E6"/>
    <w:rsid w:val="6A6169B0"/>
    <w:rsid w:val="6B52086A"/>
    <w:rsid w:val="6BCC63C9"/>
    <w:rsid w:val="6D465871"/>
    <w:rsid w:val="6DF1E6CE"/>
    <w:rsid w:val="6E281778"/>
    <w:rsid w:val="73476F0F"/>
    <w:rsid w:val="74A76C59"/>
    <w:rsid w:val="7663F37E"/>
    <w:rsid w:val="768398AD"/>
    <w:rsid w:val="7AE67B36"/>
    <w:rsid w:val="7B22ABAA"/>
    <w:rsid w:val="7DF8C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AD957"/>
  <w15:chartTrackingRefBased/>
  <w15:docId w15:val="{17B0D283-952C-9C42-AD58-C085202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0AF5"/>
    <w:pPr>
      <w:jc w:val="center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F5"/>
    <w:rPr>
      <w:rFonts w:ascii="Calibri" w:hAnsi="Calibri" w:cs="Times New Roman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0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0AF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10AF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0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AF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AF5"/>
    <w:rPr>
      <w:sz w:val="22"/>
      <w:szCs w:val="22"/>
      <w:lang w:val="en-GB"/>
    </w:rPr>
  </w:style>
  <w:style w:type="character" w:styleId="Hyperlink">
    <w:uiPriority w:val="99"/>
    <w:name w:val="Hyperlink"/>
    <w:basedOn w:val="DefaultParagraphFont"/>
    <w:unhideWhenUsed/>
    <w:rsid w:val="202C71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footer" Target="footer.xml" Id="R07aec7de80de49b0" /><Relationship Type="http://schemas.microsoft.com/office/2011/relationships/people" Target="people.xml" Id="R0c84245b43024d18" /><Relationship Type="http://schemas.microsoft.com/office/2011/relationships/commentsExtended" Target="commentsExtended.xml" Id="Rf763e5230fa84ac7" /><Relationship Type="http://schemas.microsoft.com/office/2016/09/relationships/commentsIds" Target="commentsIds.xml" Id="R5294a77d01864c8a" /><Relationship Type="http://schemas.openxmlformats.org/officeDocument/2006/relationships/hyperlink" Target="https://gbvguidelines.org/sp-toolkit/start/" TargetMode="External" Id="Rb5288a73e809404b" /><Relationship Type="http://schemas.openxmlformats.org/officeDocument/2006/relationships/hyperlink" Target="https://gbvguidelines.org/wp/wp-content/uploads/2025/12/Tipsheet-for-non-GBV-specialists-on-asking-safety-related-questions.docx" TargetMode="External" Id="Rd3db5ea60b4c4b84" /><Relationship Type="http://schemas.openxmlformats.org/officeDocument/2006/relationships/hyperlink" Target="https://gbvguidelines.org/wp/wp-content/uploads/2026/01/AAAQ-framework-GENERAL.pdf" TargetMode="External" Id="R2f949999e5394348" /><Relationship Type="http://schemas.openxmlformats.org/officeDocument/2006/relationships/hyperlink" Target="https://care.disco.co/p/for-do-no-harm-in-practice-toolkit-responding-to-gender-based-violence-disclosures" TargetMode="External" Id="R3744456183b84ef8" /><Relationship Type="http://schemas.openxmlformats.org/officeDocument/2006/relationships/header" Target="header2.xml" Id="R11637b5f280c4694" /><Relationship Type="http://schemas.openxmlformats.org/officeDocument/2006/relationships/header" Target="header3.xml" Id="R949e8a5c8aea427b" /><Relationship Type="http://schemas.openxmlformats.org/officeDocument/2006/relationships/footer" Target="footer2.xml" Id="Rf4b5de7febb04a74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jpg" Id="rId9198475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43A5594C4AFB4A8105D42986A7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9065-0263-A540-AFFC-3766CF152EE6}"/>
      </w:docPartPr>
      <w:docPartBody>
        <w:p w:rsidR="00A469A5" w:rsidP="00A57130" w:rsidRDefault="00A57130">
          <w:pPr>
            <w:pStyle w:val="AB43A5594C4AFB4A8105D42986A7B78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0"/>
    <w:rsid w:val="00812362"/>
    <w:rsid w:val="009C36F3"/>
    <w:rsid w:val="00A469A5"/>
    <w:rsid w:val="00A57130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43A5594C4AFB4A8105D42986A7B785">
    <w:name w:val="AB43A5594C4AFB4A8105D42986A7B785"/>
    <w:rsid w:val="00A57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INTER-AGENCY GBV RISK MITIGATION ONLINE COURSE</dc:title>
  <dc:subject/>
  <dc:creator>Erin Patrick</dc:creator>
  <keywords/>
  <dc:description/>
  <lastModifiedBy>Erin Patrick</lastModifiedBy>
  <revision>7</revision>
  <dcterms:created xsi:type="dcterms:W3CDTF">2025-11-17T18:47:00.0000000Z</dcterms:created>
  <dcterms:modified xsi:type="dcterms:W3CDTF">2026-02-27T21:48:04.5000559Z</dcterms:modified>
</coreProperties>
</file>