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0AF5" w:rsidR="00710AF5" w:rsidP="343A3F57" w:rsidRDefault="00710AF5" w14:paraId="6E2C5F43" w14:textId="67A20FC8">
      <w:pPr>
        <w:pStyle w:val="Normal"/>
        <w:spacing w:before="0" w:beforeAutospacing="off" w:after="0" w:afterAutospacing="off" w:line="240" w:lineRule="auto"/>
        <w:ind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43A3F57" w:rsidR="448A4A3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343A3F57" w:rsidR="448A4A3B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FOOD SECURITY</w:t>
      </w:r>
    </w:p>
    <w:p w:rsidRPr="00710AF5" w:rsidR="00710AF5" w:rsidP="66400710" w:rsidRDefault="00710AF5" w14:paraId="6948D91E" w14:textId="45472A3C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400710" w:rsidR="448A4A3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Inter-agency GBV Risk Mitigation Online Course</w:t>
      </w:r>
    </w:p>
    <w:p w:rsidRPr="00710AF5" w:rsidR="00710AF5" w:rsidP="66400710" w:rsidRDefault="00710AF5" w14:paraId="31DFC9C4" w14:textId="0CB3478E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66400710" w:rsidRDefault="00710AF5" w14:paraId="20D3C7B5" w14:textId="2EB586F7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43A3F57" w:rsidR="448A4A3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hyperlink r:id="R4e30ca8678be443b">
        <w:r w:rsidRPr="343A3F57" w:rsidR="448A4A3B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343A3F57" w:rsidR="448A4A3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43A3F57" w:rsidR="448A4A3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3A3F57" w:rsidR="448A4A3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343A3F57" w:rsidR="448A4A3B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343A3F57" w:rsidR="448A4A3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66400710" w:rsidRDefault="00710AF5" w14:paraId="0B018B29" w14:textId="2F30645B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66400710" w:rsidRDefault="00710AF5" w14:paraId="40625B11" w14:textId="1E03B9D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400710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66400710" w:rsidRDefault="00710AF5" w14:paraId="164C5643" w14:textId="2FC07C0D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343A3F57" w:rsidR="448A4A3B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US"/>
        </w:rPr>
        <w:t xml:space="preserve">Availability, Accessibility, Acceptability and Quality (AAAQ) framework 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a simple assessment and analysis tool that is useful for assessing all types of services and particularly for 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identifying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barriers to services that may not be 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immediately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apparent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Detailed information on the AAAQ is available </w:t>
      </w:r>
      <w:hyperlink r:id="R894f87a6c49a4b56">
        <w:r w:rsidRPr="343A3F57" w:rsidR="448A4A3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version of the AAAQ included below is pre-tailored for use by the </w:t>
      </w:r>
      <w:r w:rsidRPr="343A3F57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Food Security 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sector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</w:p>
    <w:p w:rsidRPr="00710AF5" w:rsidR="00710AF5" w:rsidP="66400710" w:rsidRDefault="00710AF5" w14:paraId="27DCD3B6" w14:textId="6B4462FD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66400710" w:rsidRDefault="00710AF5" w14:paraId="2D556533" w14:textId="26C9A0A2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400710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66400710" w:rsidRDefault="00710AF5" w14:paraId="2CAA1F63" w14:textId="65F15919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Ensure you have read and understood the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ca260c0a936049d7">
        <w:r w:rsidRPr="343A3F57" w:rsidR="448A4A3B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Tipsheet for non-GBV </w:t>
        </w:r>
        <w:r w:rsidRPr="343A3F57" w:rsidR="448A4A3B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specialists</w:t>
        </w:r>
      </w:hyperlink>
      <w:r w:rsidRPr="343A3F57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on</w:t>
      </w:r>
      <w:r w:rsidRPr="343A3F57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asking questions about safety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undertaking any GBV risk-related assessments.</w:t>
      </w:r>
    </w:p>
    <w:p w:rsidRPr="00710AF5" w:rsidR="00710AF5" w:rsidP="66400710" w:rsidRDefault="00710AF5" w14:paraId="79F36554" w14:textId="4F112E73">
      <w:pPr>
        <w:pStyle w:val="ListParagraph"/>
        <w:numPr>
          <w:ilvl w:val="0"/>
          <w:numId w:val="7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43A3F57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343A3F57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343A3F57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hyperlink r:id="Rbd20373b123f483a">
        <w:r w:rsidRPr="343A3F57" w:rsidR="448A4A3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343A3F57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14391"/>
      </w:r>
      <w:r w:rsidRPr="343A3F57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66400710" w:rsidRDefault="00710AF5" w14:paraId="4A23229E" w14:textId="57643895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400710" w:rsidR="448A4A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66400710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questions/areas of inquiry noted below will be relevant for your context or that the examples given will suit your context exactly. Pick, choose and adapt as needed.</w:t>
      </w:r>
    </w:p>
    <w:p w:rsidRPr="00710AF5" w:rsidR="00710AF5" w:rsidP="66400710" w:rsidRDefault="00710AF5" w14:paraId="0592C9FC" w14:textId="53340001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400710" w:rsidR="448A4A3B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combination.</w:t>
      </w:r>
    </w:p>
    <w:p w:rsidRPr="00710AF5" w:rsidR="00710AF5" w:rsidP="66400710" w:rsidRDefault="00710AF5" w14:paraId="0BD5B3E9" w14:textId="750956D2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66400710" w:rsidRDefault="00710AF5" w14:paraId="51ADEDCC" w14:textId="14D2B1C7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400710" w:rsidR="448A4A3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66400710" w:rsidRDefault="00710AF5" w14:paraId="4895CC6E" w14:textId="23B38025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Pr="00710AF5" w:rsidR="00710AF5" w:rsidP="343A3F57" w:rsidRDefault="00710AF5" w14:paraId="5D1308BB" w14:textId="7ED50133">
      <w:pPr>
        <w:pStyle w:val="Normal"/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Pr="00710AF5" w:rsidR="00710AF5" w:rsidP="343A3F57" w:rsidRDefault="00710AF5" w14:paraId="3CF46DF6" w14:textId="6A01608A">
      <w:pPr>
        <w:pStyle w:val="Normal"/>
        <w:rPr>
          <w:rFonts w:ascii="Univers" w:hAnsi="Univers" w:eastAsia="Univers" w:cs="Univers"/>
          <w:noProof w:val="0"/>
          <w:sz w:val="24"/>
          <w:szCs w:val="24"/>
          <w:lang w:val="en-US"/>
        </w:rPr>
      </w:pPr>
      <w:r w:rsidRPr="343A3F57" w:rsidR="448A4A3B"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  <w:t>AAAQ FRAMEWORK FOR FOOD SECURITY</w:t>
      </w:r>
    </w:p>
    <w:p w:rsidRPr="00710AF5" w:rsidR="00710AF5" w:rsidP="66400710" w:rsidRDefault="00710AF5" w14:paraId="59E8A7B6" w14:textId="1F66D391">
      <w:pPr>
        <w:jc w:val="both"/>
        <w:rPr>
          <w:rFonts w:ascii="Univers" w:hAnsi="Univers" w:cs="Calibri" w:cstheme="minorAscii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66400710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B81BF9" w:rsidTr="66400710" w14:paraId="4D2E2535" w14:textId="77777777">
        <w:tc>
          <w:tcPr>
            <w:tcW w:w="2817" w:type="dxa"/>
            <w:tcMar/>
          </w:tcPr>
          <w:p w:rsidRPr="00122CCF" w:rsidR="00B81BF9" w:rsidP="00B81BF9" w:rsidRDefault="00B81BF9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763AE9F4" w14:textId="22FD493D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Are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 xml:space="preserve">food distributions and/or other food assistance modalities (for example CVA) 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>available according to the minimum standards</w:t>
            </w:r>
            <w:r w:rsidR="006936F9">
              <w:rPr>
                <w:rFonts w:ascii="Univers" w:hAnsi="Univers" w:cstheme="minorHAnsi"/>
                <w:sz w:val="20"/>
                <w:szCs w:val="20"/>
              </w:rPr>
              <w:t xml:space="preserve"> (e.g., Cluster, Cash Working Group)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</w:tc>
      </w:tr>
      <w:tr w:rsidRPr="00710AF5" w:rsidR="00B81BF9" w:rsidTr="66400710" w14:paraId="58D50B59" w14:textId="77777777">
        <w:tc>
          <w:tcPr>
            <w:tcW w:w="2817" w:type="dxa"/>
            <w:tcMar/>
          </w:tcPr>
          <w:p w:rsidRPr="00122CCF" w:rsidR="00B81BF9" w:rsidP="00B81BF9" w:rsidRDefault="00B81BF9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B81BF9" w:rsidP="00B81BF9" w:rsidRDefault="00B81BF9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B81BF9" w:rsidP="00B81BF9" w:rsidRDefault="00B81BF9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5DA4B851" w14:textId="58E6569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Are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>distributions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located within a reasonable distance for all women, girls and boys in the targeted area? Who </w:t>
            </w:r>
            <w:r>
              <w:rPr>
                <w:rFonts w:ascii="Univers" w:hAnsi="Univers" w:cstheme="minorHAnsi"/>
                <w:sz w:val="20"/>
                <w:szCs w:val="20"/>
              </w:rPr>
              <w:t>is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most likely have a problem</w:t>
            </w:r>
            <w:r>
              <w:rPr>
                <w:rFonts w:ascii="Univers" w:hAnsi="Univers" w:cstheme="minorHAnsi"/>
                <w:sz w:val="20"/>
                <w:szCs w:val="20"/>
              </w:rPr>
              <w:t>, barrier or other access challenge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B81BF9" w:rsidR="00B81BF9" w:rsidP="00B81BF9" w:rsidRDefault="00B81BF9" w14:paraId="133FF1BE" w14:textId="179519A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Is the route to and from the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>distribution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safe to travel for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>women of different ages, disabilities, etc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="00B81BF9" w:rsidP="00B81BF9" w:rsidRDefault="00B81BF9" w14:paraId="1729B23C" w14:textId="40F8FB2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Are there other forms of physical barriers, such as armed guards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 xml:space="preserve">near 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the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>distribution sites and/or en route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B81BF9" w:rsidR="006936F9" w:rsidP="00B81BF9" w:rsidRDefault="006936F9" w14:paraId="2AC7D2FF" w14:textId="2F1A36D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Do participants need to use transportation? Are there additional risks for women, girls or boys in using these modes of transport?</w:t>
            </w:r>
          </w:p>
          <w:p w:rsidRPr="00B81BF9" w:rsidR="00B81BF9" w:rsidP="00B81BF9" w:rsidRDefault="00B81BF9" w14:paraId="66B56AF4" w14:textId="5D5C75E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Are there any other safety concerns in accessing </w:t>
            </w:r>
            <w:r w:rsidR="000917EF">
              <w:rPr>
                <w:rFonts w:ascii="Univers" w:hAnsi="Univers" w:cstheme="minorHAnsi"/>
                <w:sz w:val="20"/>
                <w:szCs w:val="20"/>
              </w:rPr>
              <w:t>food or CVA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>?</w:t>
            </w:r>
          </w:p>
        </w:tc>
      </w:tr>
      <w:tr w:rsidRPr="00710AF5" w:rsidR="00B81BF9" w:rsidTr="66400710" w14:paraId="51098682" w14:textId="77777777">
        <w:tc>
          <w:tcPr>
            <w:tcW w:w="2817" w:type="dxa"/>
            <w:tcMar/>
          </w:tcPr>
          <w:p w:rsidR="00B81BF9" w:rsidP="00B81BF9" w:rsidRDefault="00B81BF9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B81BF9" w:rsidP="00B81BF9" w:rsidRDefault="00B81BF9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077F7770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users have to pay a fee? If so, is the fee reasonable/manageable given the economic circumstances/means? Who would be the most affected by a fee?</w:t>
            </w:r>
          </w:p>
          <w:p w:rsidRPr="00095607" w:rsidR="00B81BF9" w:rsidP="00B81BF9" w:rsidRDefault="00B81BF9" w14:paraId="5424B1E2" w14:textId="30D9AEC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If no formal fee, are </w:t>
            </w:r>
            <w:r w:rsidRPr="00095607">
              <w:rPr>
                <w:rFonts w:ascii="Univers" w:hAnsi="Univers"/>
                <w:sz w:val="20"/>
                <w:szCs w:val="20"/>
              </w:rPr>
              <w:t>there any other hidden fees such as transportation</w:t>
            </w:r>
            <w:r w:rsidRPr="00095607" w:rsidR="000917EF">
              <w:rPr>
                <w:rFonts w:ascii="Univers" w:hAnsi="Univers"/>
                <w:sz w:val="20"/>
                <w:szCs w:val="20"/>
              </w:rPr>
              <w:t>, porting, milling, etc</w:t>
            </w:r>
            <w:r w:rsidRPr="00095607">
              <w:rPr>
                <w:rFonts w:ascii="Univers" w:hAnsi="Univers"/>
                <w:sz w:val="20"/>
                <w:szCs w:val="20"/>
              </w:rPr>
              <w:t xml:space="preserve"> that affect people’s access to </w:t>
            </w:r>
            <w:r w:rsidRPr="00095607" w:rsidR="000917EF">
              <w:rPr>
                <w:rFonts w:ascii="Univers" w:hAnsi="Univers"/>
                <w:sz w:val="20"/>
                <w:szCs w:val="20"/>
              </w:rPr>
              <w:t>food</w:t>
            </w:r>
            <w:r w:rsidRPr="00095607">
              <w:rPr>
                <w:rFonts w:ascii="Univers" w:hAnsi="Univers"/>
                <w:sz w:val="20"/>
                <w:szCs w:val="20"/>
              </w:rPr>
              <w:t>?</w:t>
            </w:r>
            <w:r w:rsidRPr="00095607" w:rsidR="00095607">
              <w:rPr>
                <w:rFonts w:ascii="Univers" w:hAnsi="Univers"/>
                <w:sz w:val="20"/>
                <w:szCs w:val="20"/>
              </w:rPr>
              <w:t xml:space="preserve"> Are certain groups more</w:t>
            </w:r>
            <w:r w:rsidR="00095607">
              <w:rPr>
                <w:rFonts w:ascii="Univers" w:hAnsi="Univers"/>
                <w:sz w:val="20"/>
                <w:szCs w:val="20"/>
              </w:rPr>
              <w:t xml:space="preserve"> likely to be</w:t>
            </w:r>
            <w:r w:rsidRPr="00095607" w:rsidR="00095607">
              <w:rPr>
                <w:rFonts w:ascii="Univers" w:hAnsi="Univers"/>
                <w:sz w:val="20"/>
                <w:szCs w:val="20"/>
              </w:rPr>
              <w:t xml:space="preserve"> affected by these hidden fees than others?</w:t>
            </w:r>
          </w:p>
          <w:p w:rsidRPr="00B81BF9" w:rsidR="006936F9" w:rsidP="00B81BF9" w:rsidRDefault="006936F9" w14:paraId="6748058B" w14:textId="1B2226E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Are there costs related to transport of the aid or transportation to and from the distribution? </w:t>
            </w:r>
          </w:p>
        </w:tc>
      </w:tr>
      <w:tr w:rsidRPr="00710AF5" w:rsidR="00B81BF9" w:rsidTr="66400710" w14:paraId="31928F8A" w14:textId="77777777">
        <w:tc>
          <w:tcPr>
            <w:tcW w:w="2817" w:type="dxa"/>
            <w:tcMar/>
          </w:tcPr>
          <w:p w:rsidR="00B81BF9" w:rsidP="00B81BF9" w:rsidRDefault="00B81BF9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B81BF9" w:rsidP="00B81BF9" w:rsidRDefault="00B81BF9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B81BF9" w:rsidP="00B81BF9" w:rsidRDefault="00B81BF9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0087C0A8" w14:textId="4D09A4B0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procedural steps that users must complete to access to </w:t>
            </w:r>
            <w:r w:rsidR="000917EF">
              <w:rPr>
                <w:rFonts w:ascii="Univers" w:hAnsi="Univers"/>
                <w:sz w:val="20"/>
                <w:szCs w:val="20"/>
              </w:rPr>
              <w:t>food or CVA</w:t>
            </w:r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  <w:p w:rsidRPr="00B81BF9" w:rsidR="00B81BF9" w:rsidP="00B81BF9" w:rsidRDefault="00B81BF9" w14:paraId="72F6AF91" w14:textId="507B624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the users need to have civil documents such as birth registration, documents related to refugee status</w:t>
            </w:r>
            <w:r>
              <w:rPr>
                <w:rFonts w:ascii="Univers" w:hAnsi="Univers"/>
                <w:sz w:val="20"/>
                <w:szCs w:val="20"/>
              </w:rPr>
              <w:t>,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etc</w:t>
            </w:r>
            <w:r>
              <w:rPr>
                <w:rFonts w:ascii="Univers" w:hAnsi="Univers"/>
                <w:sz w:val="20"/>
                <w:szCs w:val="20"/>
              </w:rPr>
              <w:t>.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to</w:t>
            </w:r>
            <w:r>
              <w:rPr>
                <w:rFonts w:ascii="Univers" w:hAnsi="Univers"/>
                <w:sz w:val="20"/>
                <w:szCs w:val="20"/>
              </w:rPr>
              <w:t xml:space="preserve"> receive </w:t>
            </w:r>
            <w:r w:rsidR="000917EF">
              <w:rPr>
                <w:rFonts w:ascii="Univers" w:hAnsi="Univers"/>
                <w:sz w:val="20"/>
                <w:szCs w:val="20"/>
              </w:rPr>
              <w:t>food or CVA</w:t>
            </w:r>
            <w:r w:rsidRPr="00B81BF9">
              <w:rPr>
                <w:rFonts w:ascii="Univers" w:hAnsi="Univers"/>
                <w:sz w:val="20"/>
                <w:szCs w:val="20"/>
              </w:rPr>
              <w:t>? If so, is it easy to obtain the documents? Who wo</w:t>
            </w:r>
            <w:r>
              <w:rPr>
                <w:rFonts w:ascii="Univers" w:hAnsi="Univers"/>
                <w:sz w:val="20"/>
                <w:szCs w:val="20"/>
              </w:rPr>
              <w:t>u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ld have challenges in accessing civil documents and thus </w:t>
            </w:r>
            <w:r w:rsidR="000917EF">
              <w:rPr>
                <w:rFonts w:ascii="Univers" w:hAnsi="Univers"/>
                <w:sz w:val="20"/>
                <w:szCs w:val="20"/>
              </w:rPr>
              <w:t>accessing food or CVA</w:t>
            </w:r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  <w:p w:rsidRPr="00B81BF9" w:rsidR="00B81BF9" w:rsidP="00B81BF9" w:rsidRDefault="00B81BF9" w14:paraId="7CBA32E7" w14:textId="3916692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any other bureaucratic/administrative barriers that hinders people’s access to </w:t>
            </w:r>
            <w:r w:rsidR="000917EF">
              <w:rPr>
                <w:rFonts w:ascii="Univers" w:hAnsi="Univers"/>
                <w:sz w:val="20"/>
                <w:szCs w:val="20"/>
              </w:rPr>
              <w:t>food or CVA</w:t>
            </w:r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  <w:p w:rsidRPr="00B81BF9" w:rsidR="00B81BF9" w:rsidP="00B81BF9" w:rsidRDefault="00B81BF9" w14:paraId="1C923F49" w14:textId="437B123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 </w:t>
            </w:r>
            <w:r w:rsidR="000917EF">
              <w:rPr>
                <w:rFonts w:ascii="Univers" w:hAnsi="Univers"/>
                <w:sz w:val="20"/>
                <w:szCs w:val="20"/>
              </w:rPr>
              <w:t>distribution site</w:t>
            </w:r>
            <w:r w:rsidRPr="00B81BF9">
              <w:rPr>
                <w:rFonts w:ascii="Univers" w:hAnsi="Univers"/>
                <w:sz w:val="20"/>
                <w:szCs w:val="20"/>
              </w:rPr>
              <w:t>s open at times that are convenient given the daily/weekly rhythm of women?</w:t>
            </w:r>
          </w:p>
        </w:tc>
      </w:tr>
      <w:tr w:rsidRPr="00710AF5" w:rsidR="00B81BF9" w:rsidTr="66400710" w14:paraId="545F5C73" w14:textId="77777777">
        <w:tc>
          <w:tcPr>
            <w:tcW w:w="2817" w:type="dxa"/>
            <w:tcMar/>
          </w:tcPr>
          <w:p w:rsidR="00B81BF9" w:rsidP="00B81BF9" w:rsidRDefault="00B81BF9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B81BF9" w:rsidP="00B81BF9" w:rsidRDefault="00B81BF9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Social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306FBCEC" w14:textId="6241781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 opinions of target groups i.e. women reflected in </w:t>
            </w:r>
            <w:r w:rsidR="000917EF">
              <w:rPr>
                <w:rFonts w:ascii="Univers" w:hAnsi="Univers"/>
                <w:sz w:val="20"/>
                <w:szCs w:val="20"/>
              </w:rPr>
              <w:t>food security/CVA programming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B81BF9" w:rsidR="00B81BF9" w:rsidP="00B81BF9" w:rsidRDefault="00B81BF9" w14:paraId="49AF86DF" w14:textId="638EBD0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Do </w:t>
            </w:r>
            <w:r w:rsidR="000917EF">
              <w:rPr>
                <w:rFonts w:ascii="Univers" w:hAnsi="Univers"/>
                <w:sz w:val="20"/>
                <w:szCs w:val="20"/>
              </w:rPr>
              <w:t xml:space="preserve">food security/cash staff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respect and practice non-discrimination in the provision of services? </w:t>
            </w:r>
          </w:p>
          <w:p w:rsidRPr="00B81BF9" w:rsidR="00B81BF9" w:rsidP="00B81BF9" w:rsidRDefault="00B81BF9" w14:paraId="6DD5EA62" w14:textId="483D2556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certain groups excluded from </w:t>
            </w:r>
            <w:r w:rsidR="000917EF">
              <w:rPr>
                <w:rFonts w:ascii="Univers" w:hAnsi="Univers"/>
                <w:sz w:val="20"/>
                <w:szCs w:val="20"/>
              </w:rPr>
              <w:t>food security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  <w:r w:rsidR="000917EF">
              <w:rPr>
                <w:rFonts w:ascii="Univers" w:hAnsi="Univers"/>
                <w:sz w:val="20"/>
                <w:szCs w:val="20"/>
              </w:rPr>
              <w:t>and/or CVA programming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because of language </w:t>
            </w:r>
            <w:r w:rsidR="000917EF">
              <w:rPr>
                <w:rFonts w:ascii="Univers" w:hAnsi="Univers"/>
                <w:sz w:val="20"/>
                <w:szCs w:val="20"/>
              </w:rPr>
              <w:t xml:space="preserve">or technology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barriers? </w:t>
            </w:r>
          </w:p>
          <w:p w:rsidRPr="00B81BF9" w:rsidR="00B81BF9" w:rsidP="00B81BF9" w:rsidRDefault="00B81BF9" w14:paraId="428D957B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adequate numbers of female frontline workers? </w:t>
            </w:r>
          </w:p>
          <w:p w:rsidR="00B81BF9" w:rsidP="00B81BF9" w:rsidRDefault="00B81BF9" w14:paraId="4CAC6E78" w14:textId="198FDAB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social norms/cultural barriers that hinder women, men and children’s access </w:t>
            </w:r>
            <w:r>
              <w:rPr>
                <w:rFonts w:ascii="Univers" w:hAnsi="Univers"/>
                <w:sz w:val="20"/>
                <w:szCs w:val="20"/>
              </w:rPr>
              <w:t xml:space="preserve">to </w:t>
            </w:r>
            <w:r w:rsidR="000917EF">
              <w:rPr>
                <w:rFonts w:ascii="Univers" w:hAnsi="Univers"/>
                <w:sz w:val="20"/>
                <w:szCs w:val="20"/>
              </w:rPr>
              <w:t>food security</w:t>
            </w:r>
            <w:r w:rsidRPr="00B81BF9">
              <w:rPr>
                <w:rFonts w:ascii="Univers" w:hAnsi="Univers"/>
                <w:sz w:val="20"/>
                <w:szCs w:val="20"/>
              </w:rPr>
              <w:t>?</w:t>
            </w:r>
            <w:r w:rsidR="000917EF">
              <w:rPr>
                <w:rFonts w:ascii="Univers" w:hAnsi="Univers"/>
                <w:sz w:val="20"/>
                <w:szCs w:val="20"/>
              </w:rPr>
              <w:t xml:space="preserve"> (for example, who is allowed to each which types of foods, </w:t>
            </w:r>
            <w:r w:rsidR="006936F9">
              <w:rPr>
                <w:rFonts w:ascii="Univers" w:hAnsi="Univers"/>
                <w:sz w:val="20"/>
                <w:szCs w:val="20"/>
              </w:rPr>
              <w:t>shops where vouchers are redeemed, e</w:t>
            </w:r>
            <w:r w:rsidR="008A31AB">
              <w:rPr>
                <w:rFonts w:ascii="Univers" w:hAnsi="Univers"/>
                <w:sz w:val="20"/>
                <w:szCs w:val="20"/>
              </w:rPr>
              <w:t>t</w:t>
            </w:r>
            <w:r w:rsidR="008A31AB">
              <w:t>c</w:t>
            </w:r>
            <w:r w:rsidR="006936F9">
              <w:rPr>
                <w:rFonts w:ascii="Univers" w:hAnsi="Univers"/>
                <w:sz w:val="20"/>
                <w:szCs w:val="20"/>
              </w:rPr>
              <w:t>.</w:t>
            </w:r>
            <w:r w:rsidR="000917EF">
              <w:rPr>
                <w:rFonts w:ascii="Univers" w:hAnsi="Univers"/>
                <w:sz w:val="20"/>
                <w:szCs w:val="20"/>
              </w:rPr>
              <w:t>)</w:t>
            </w:r>
          </w:p>
          <w:p w:rsidRPr="00B81BF9" w:rsidR="000917EF" w:rsidP="00B81BF9" w:rsidRDefault="000917EF" w14:paraId="3C33E361" w14:textId="4617648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there social norms/cultural barriers that hinder women</w:t>
            </w:r>
            <w:r>
              <w:rPr>
                <w:rFonts w:ascii="Univers" w:hAnsi="Univers"/>
                <w:sz w:val="20"/>
                <w:szCs w:val="20"/>
              </w:rPr>
              <w:t xml:space="preserve"> from safely </w:t>
            </w:r>
            <w:r w:rsidR="006936F9">
              <w:rPr>
                <w:rFonts w:ascii="Univers" w:hAnsi="Univers"/>
                <w:sz w:val="20"/>
                <w:szCs w:val="20"/>
              </w:rPr>
              <w:t>using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  <w:r w:rsidR="006936F9">
              <w:rPr>
                <w:rFonts w:ascii="Univers" w:hAnsi="Univers"/>
                <w:sz w:val="20"/>
                <w:szCs w:val="20"/>
              </w:rPr>
              <w:t>the transfers</w:t>
            </w:r>
            <w:r>
              <w:rPr>
                <w:rFonts w:ascii="Univers" w:hAnsi="Univers"/>
                <w:sz w:val="20"/>
                <w:szCs w:val="20"/>
              </w:rPr>
              <w:t>?</w:t>
            </w:r>
          </w:p>
          <w:p w:rsidRPr="00B81BF9" w:rsidR="00B81BF9" w:rsidP="00B81BF9" w:rsidRDefault="00B81BF9" w14:paraId="368CD8A1" w14:textId="4950472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lastRenderedPageBreak/>
              <w:t>Are there social norms/cultural barriers that hinder local women from working</w:t>
            </w:r>
            <w:r w:rsidR="000917EF">
              <w:rPr>
                <w:rFonts w:ascii="Univers" w:hAnsi="Univers"/>
                <w:sz w:val="20"/>
                <w:szCs w:val="20"/>
              </w:rPr>
              <w:t xml:space="preserve"> in food security or with CVA programming</w:t>
            </w:r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</w:tc>
      </w:tr>
      <w:tr w:rsidRPr="00710AF5" w:rsidR="00B81BF9" w:rsidTr="66400710" w14:paraId="2871A6A5" w14:textId="77777777">
        <w:trPr>
          <w:trHeight w:val="917"/>
        </w:trPr>
        <w:tc>
          <w:tcPr>
            <w:tcW w:w="2817" w:type="dxa"/>
            <w:tcMar/>
          </w:tcPr>
          <w:p w:rsidRPr="00122CCF" w:rsidR="00B81BF9" w:rsidP="00B81BF9" w:rsidRDefault="00B81BF9" w14:paraId="696A77F3" w14:textId="2F80656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lastRenderedPageBreak/>
              <w:t>Information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231AA89A" w14:textId="4074717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How is information about </w:t>
            </w:r>
            <w:r w:rsidR="000917EF">
              <w:rPr>
                <w:rFonts w:ascii="Univers" w:hAnsi="Univers"/>
                <w:sz w:val="20"/>
                <w:szCs w:val="20"/>
              </w:rPr>
              <w:t>food security and/or the availability of/modality for CVA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communicated to the community? </w:t>
            </w:r>
            <w:r>
              <w:rPr>
                <w:rFonts w:ascii="Univers" w:hAnsi="Univers"/>
                <w:sz w:val="20"/>
                <w:szCs w:val="20"/>
              </w:rPr>
              <w:t>Do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both men and women receive the information?</w:t>
            </w:r>
          </w:p>
          <w:p w:rsidRPr="00B81BF9" w:rsidR="00B81BF9" w:rsidP="00B81BF9" w:rsidRDefault="00B81BF9" w14:paraId="5FE94DE2" w14:textId="578FC2D8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Is there an analysis of who makes a decision regarding </w:t>
            </w:r>
            <w:r w:rsidR="000917EF">
              <w:rPr>
                <w:rFonts w:ascii="Univers" w:hAnsi="Univers"/>
                <w:sz w:val="20"/>
                <w:szCs w:val="20"/>
              </w:rPr>
              <w:t xml:space="preserve">the use of food or </w:t>
            </w:r>
            <w:r w:rsidR="006936F9">
              <w:rPr>
                <w:rFonts w:ascii="Univers" w:hAnsi="Univers"/>
                <w:sz w:val="20"/>
                <w:szCs w:val="20"/>
              </w:rPr>
              <w:t>transfer</w:t>
            </w:r>
            <w:r w:rsidRPr="00B81BF9" w:rsidR="006936F9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B81BF9">
              <w:rPr>
                <w:rFonts w:ascii="Univers" w:hAnsi="Univers"/>
                <w:sz w:val="20"/>
                <w:szCs w:val="20"/>
              </w:rPr>
              <w:t>at home and</w:t>
            </w:r>
            <w:r>
              <w:rPr>
                <w:rFonts w:ascii="Univers" w:hAnsi="Univers"/>
                <w:sz w:val="20"/>
                <w:szCs w:val="20"/>
              </w:rPr>
              <w:t xml:space="preserve"> is the sector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targeting </w:t>
            </w:r>
            <w:r>
              <w:rPr>
                <w:rFonts w:ascii="Univers" w:hAnsi="Univers"/>
                <w:sz w:val="20"/>
                <w:szCs w:val="20"/>
              </w:rPr>
              <w:t>the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right person</w:t>
            </w:r>
            <w:r>
              <w:rPr>
                <w:rFonts w:ascii="Univers" w:hAnsi="Univers"/>
                <w:sz w:val="20"/>
                <w:szCs w:val="20"/>
              </w:rPr>
              <w:t xml:space="preserve">s </w:t>
            </w:r>
            <w:r w:rsidRPr="00B81BF9">
              <w:rPr>
                <w:rFonts w:ascii="Univers" w:hAnsi="Univers"/>
                <w:sz w:val="20"/>
                <w:szCs w:val="20"/>
              </w:rPr>
              <w:t>for information campaign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B81BF9" w:rsidR="00B81BF9" w:rsidP="00B81BF9" w:rsidRDefault="00B81BF9" w14:paraId="145DC087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alternatives to printed information in order to reach illiterate members of the community? </w:t>
            </w:r>
          </w:p>
          <w:p w:rsidRPr="00B81BF9" w:rsidR="00B81BF9" w:rsidP="00B81BF9" w:rsidRDefault="00B81BF9" w14:paraId="68052537" w14:textId="6BAFC45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Is personal information treated confidentially?</w:t>
            </w:r>
          </w:p>
        </w:tc>
      </w:tr>
      <w:tr w:rsidR="00B81BF9" w:rsidTr="66400710" w14:paraId="7DD697CD" w14:textId="77777777">
        <w:tc>
          <w:tcPr>
            <w:tcW w:w="2817" w:type="dxa"/>
            <w:tcMar/>
          </w:tcPr>
          <w:p w:rsidRPr="00122CCF" w:rsidR="00B81BF9" w:rsidP="00B81BF9" w:rsidRDefault="00B81BF9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3EE2228F" w14:textId="6DDF811A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</w:t>
            </w:r>
            <w:r w:rsidR="000917EF">
              <w:rPr>
                <w:rFonts w:ascii="Univers" w:hAnsi="Univers"/>
                <w:sz w:val="20"/>
                <w:szCs w:val="20"/>
              </w:rPr>
              <w:t>food security/CVA programs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respectful of the culture of individuals, minorities, peoples and communities? </w:t>
            </w:r>
          </w:p>
          <w:p w:rsidRPr="00B81BF9" w:rsidR="00B81BF9" w:rsidP="00B81BF9" w:rsidRDefault="00B81BF9" w14:paraId="04549714" w14:textId="79F63B2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Is the </w:t>
            </w:r>
            <w:r w:rsidR="000917EF">
              <w:rPr>
                <w:rFonts w:ascii="Univers" w:hAnsi="Univers"/>
                <w:sz w:val="20"/>
                <w:szCs w:val="20"/>
              </w:rPr>
              <w:t>food security program/CVA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gender-sensitive? </w:t>
            </w:r>
          </w:p>
          <w:p w:rsidRPr="00B81BF9" w:rsidR="00B81BF9" w:rsidP="00B81BF9" w:rsidRDefault="00B81BF9" w14:paraId="3C34868C" w14:textId="72DC6158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certain characteristics of the </w:t>
            </w:r>
            <w:r w:rsidR="000917EF">
              <w:rPr>
                <w:rFonts w:ascii="Univers" w:hAnsi="Univers"/>
                <w:sz w:val="20"/>
                <w:szCs w:val="20"/>
              </w:rPr>
              <w:t>food security services/CVA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(gender balance of frontline worke</w:t>
            </w:r>
            <w:r>
              <w:rPr>
                <w:rFonts w:ascii="Univers" w:hAnsi="Univers"/>
                <w:sz w:val="20"/>
                <w:szCs w:val="20"/>
              </w:rPr>
              <w:t>r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s, attitude/behaviours of </w:t>
            </w:r>
            <w:r>
              <w:rPr>
                <w:rFonts w:ascii="Univers" w:hAnsi="Univers"/>
                <w:sz w:val="20"/>
                <w:szCs w:val="20"/>
              </w:rPr>
              <w:t>staff,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etc) that make the community more/less comfortable accessing services?</w:t>
            </w:r>
          </w:p>
          <w:p w:rsidRPr="00B81BF9" w:rsidR="00B81BF9" w:rsidP="00B81BF9" w:rsidRDefault="00B81BF9" w14:paraId="161D51C4" w14:textId="6811AFF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there adequate numbers of female staff and volunteers</w:t>
            </w:r>
            <w:r>
              <w:rPr>
                <w:rFonts w:ascii="Univers" w:hAnsi="Univers"/>
                <w:sz w:val="20"/>
                <w:szCs w:val="20"/>
              </w:rPr>
              <w:t xml:space="preserve"> providing </w:t>
            </w:r>
            <w:r w:rsidR="000917EF">
              <w:rPr>
                <w:rFonts w:ascii="Univers" w:hAnsi="Univers"/>
                <w:sz w:val="20"/>
                <w:szCs w:val="20"/>
              </w:rPr>
              <w:t>food/CVA</w:t>
            </w:r>
            <w:r>
              <w:rPr>
                <w:rFonts w:ascii="Univers" w:hAnsi="Univers"/>
                <w:sz w:val="20"/>
                <w:szCs w:val="20"/>
              </w:rPr>
              <w:t xml:space="preserve"> services</w:t>
            </w:r>
            <w:r w:rsidR="000917EF">
              <w:rPr>
                <w:rFonts w:ascii="Univers" w:hAnsi="Univers"/>
                <w:sz w:val="20"/>
                <w:szCs w:val="20"/>
              </w:rPr>
              <w:t>?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If not, are there a plan to increase numbers of female staff/volunteers?</w:t>
            </w:r>
          </w:p>
        </w:tc>
      </w:tr>
      <w:tr w:rsidR="00B81BF9" w:rsidTr="66400710" w14:paraId="0B0291FA" w14:textId="77777777">
        <w:tc>
          <w:tcPr>
            <w:tcW w:w="2817" w:type="dxa"/>
            <w:tcMar/>
          </w:tcPr>
          <w:p w:rsidRPr="00122CCF" w:rsidR="00B81BF9" w:rsidP="00B81BF9" w:rsidRDefault="00B81BF9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10EC5CD9" w14:textId="2992479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B81BF9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B81BF9">
              <w:rPr>
                <w:rFonts w:ascii="Univers" w:hAnsi="Univers"/>
                <w:sz w:val="20"/>
                <w:szCs w:val="20"/>
              </w:rPr>
              <w:t xml:space="preserve">) for </w:t>
            </w:r>
            <w:r w:rsidR="000917EF">
              <w:rPr>
                <w:rFonts w:ascii="Univers" w:hAnsi="Univers"/>
                <w:sz w:val="20"/>
                <w:szCs w:val="20"/>
              </w:rPr>
              <w:t>food/</w:t>
            </w:r>
            <w:proofErr w:type="spellStart"/>
            <w:r w:rsidR="000917EF">
              <w:rPr>
                <w:rFonts w:ascii="Univers" w:hAnsi="Univers"/>
                <w:sz w:val="20"/>
                <w:szCs w:val="20"/>
              </w:rPr>
              <w:t>CVA</w:t>
            </w:r>
            <w:proofErr w:type="spellEnd"/>
            <w:r w:rsidR="000917EF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frontline workers which include PSEA? Are they trained </w:t>
            </w:r>
            <w:r>
              <w:rPr>
                <w:rFonts w:ascii="Univers" w:hAnsi="Univers"/>
                <w:sz w:val="20"/>
                <w:szCs w:val="20"/>
              </w:rPr>
              <w:t xml:space="preserve">on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and </w:t>
            </w:r>
            <w:r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B81BF9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  <w:p w:rsidRPr="00B81BF9" w:rsidR="00B81BF9" w:rsidP="00B81BF9" w:rsidRDefault="00B81BF9" w14:paraId="56B2B564" w14:textId="2BCE019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Do </w:t>
            </w:r>
            <w:r w:rsidR="005B22CA">
              <w:rPr>
                <w:rFonts w:ascii="Univers" w:hAnsi="Univers"/>
                <w:sz w:val="20"/>
                <w:szCs w:val="20"/>
              </w:rPr>
              <w:t>food/CVA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frontline workers know how to ethically and safely refer GBV survivors to services?</w:t>
            </w:r>
          </w:p>
          <w:p w:rsidR="00B81BF9" w:rsidP="00B81BF9" w:rsidRDefault="00B81BF9" w14:paraId="20E59EE3" w14:textId="4132C7AA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Does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the quality</w:t>
            </w:r>
            <w:r w:rsidR="005B22CA">
              <w:rPr>
                <w:rFonts w:ascii="Univers" w:hAnsi="Univers"/>
                <w:sz w:val="20"/>
                <w:szCs w:val="20"/>
              </w:rPr>
              <w:t>/process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of </w:t>
            </w:r>
            <w:r w:rsidR="005B22CA">
              <w:rPr>
                <w:rFonts w:ascii="Univers" w:hAnsi="Univers"/>
                <w:sz w:val="20"/>
                <w:szCs w:val="20"/>
              </w:rPr>
              <w:t>food distributions and/or CVA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meet minimum standards</w:t>
            </w:r>
            <w:r w:rsidR="006936F9">
              <w:rPr>
                <w:rFonts w:ascii="Univers" w:hAnsi="Univers"/>
                <w:sz w:val="20"/>
                <w:szCs w:val="20"/>
              </w:rPr>
              <w:t xml:space="preserve"> </w:t>
            </w:r>
            <w:r w:rsidR="006936F9">
              <w:rPr>
                <w:rFonts w:ascii="Univers" w:hAnsi="Univers" w:cstheme="minorHAnsi"/>
                <w:sz w:val="20"/>
                <w:szCs w:val="20"/>
              </w:rPr>
              <w:t>(e.g., Cluster, Cash Working Group)</w:t>
            </w:r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  <w:p w:rsidR="005B22CA" w:rsidP="00B81BF9" w:rsidRDefault="005B22CA" w14:paraId="5309C821" w14:textId="294D333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Does food security programming follow the IASC GBV Guidelines Essential Actions?</w:t>
            </w:r>
          </w:p>
          <w:p w:rsidRPr="00B81BF9" w:rsidR="005B22CA" w:rsidP="00B81BF9" w:rsidRDefault="005B22CA" w14:paraId="11B27AEF" w14:textId="279FF34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For CVA, has the risk analysis matrix of the GBV and CVA compendium been used?</w:t>
            </w:r>
          </w:p>
          <w:p w:rsidRPr="00B81BF9" w:rsidR="00B81BF9" w:rsidP="00B81BF9" w:rsidRDefault="00B81BF9" w14:paraId="699818F6" w14:textId="4456F95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Do all users regardless </w:t>
            </w:r>
            <w:r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0B81BF9">
              <w:rPr>
                <w:rFonts w:ascii="Univers" w:hAnsi="Univers"/>
                <w:sz w:val="20"/>
                <w:szCs w:val="20"/>
              </w:rPr>
              <w:t>sex, age, disability and their social status such as refugee, IDPs</w:t>
            </w:r>
            <w:r>
              <w:rPr>
                <w:rFonts w:ascii="Univers" w:hAnsi="Univers"/>
                <w:sz w:val="20"/>
                <w:szCs w:val="20"/>
              </w:rPr>
              <w:t>,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etc feel respected in </w:t>
            </w:r>
            <w:r w:rsidR="005B22CA">
              <w:rPr>
                <w:rFonts w:ascii="Univers" w:hAnsi="Univers"/>
                <w:sz w:val="20"/>
                <w:szCs w:val="20"/>
              </w:rPr>
              <w:t>food/CVA programming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? </w:t>
            </w:r>
          </w:p>
        </w:tc>
      </w:tr>
    </w:tbl>
    <w:p w:rsidRPr="00710AF5" w:rsidR="00A971D5" w:rsidRDefault="00730D41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headerReference w:type="default" r:id="rId7"/>
      <w:pgSz w:w="15840" w:h="12240" w:orient="landscape"/>
      <w:pgMar w:top="1584" w:right="1440" w:bottom="1440" w:left="1440" w:header="720" w:footer="720" w:gutter="0"/>
      <w:cols w:space="720"/>
      <w:docGrid w:linePitch="360"/>
      <w:footerReference w:type="default" r:id="R1b43e60becce413f"/>
      <w:titlePg w:val="1"/>
      <w:headerReference w:type="first" r:id="R88ebbc3f5ece42a4"/>
      <w:footerReference w:type="first" r:id="R421550601ff84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0D41" w:rsidP="00710AF5" w:rsidRDefault="00730D41" w14:paraId="60BE497C" w14:textId="77777777">
      <w:r>
        <w:separator/>
      </w:r>
    </w:p>
  </w:endnote>
  <w:endnote w:type="continuationSeparator" w:id="0">
    <w:p w:rsidR="00730D41" w:rsidP="00710AF5" w:rsidRDefault="00730D41" w14:paraId="089059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6400710" w:rsidTr="66400710" w14:paraId="2B712CC4">
      <w:trPr>
        <w:trHeight w:val="300"/>
      </w:trPr>
      <w:tc>
        <w:tcPr>
          <w:tcW w:w="4320" w:type="dxa"/>
          <w:tcMar/>
        </w:tcPr>
        <w:p w:rsidR="66400710" w:rsidP="66400710" w:rsidRDefault="66400710" w14:paraId="1F684BBF" w14:textId="16764B8F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6400710" w:rsidP="66400710" w:rsidRDefault="66400710" w14:paraId="49B93724" w14:textId="1E7B2B57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6400710" w:rsidP="66400710" w:rsidRDefault="66400710" w14:paraId="50AD36C3" w14:textId="0116FC9A">
          <w:pPr>
            <w:pStyle w:val="Header"/>
            <w:bidi w:val="0"/>
            <w:ind w:right="-115"/>
            <w:jc w:val="right"/>
          </w:pPr>
        </w:p>
      </w:tc>
    </w:tr>
  </w:tbl>
  <w:p w:rsidR="66400710" w:rsidP="66400710" w:rsidRDefault="66400710" w14:paraId="3BC40CA5" w14:textId="4CCD017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3A3F57" w:rsidTr="343A3F57" w14:paraId="3888D8D8">
      <w:trPr>
        <w:trHeight w:val="300"/>
      </w:trPr>
      <w:tc>
        <w:tcPr>
          <w:tcW w:w="4320" w:type="dxa"/>
          <w:tcMar/>
        </w:tcPr>
        <w:p w:rsidR="343A3F57" w:rsidP="343A3F57" w:rsidRDefault="343A3F57" w14:paraId="340450F9" w14:textId="3B847980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343A3F57" w:rsidP="343A3F57" w:rsidRDefault="343A3F57" w14:paraId="0EF39351" w14:textId="42D8AB74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343A3F57" w:rsidP="343A3F57" w:rsidRDefault="343A3F57" w14:paraId="313DAB24" w14:textId="0C063AB2">
          <w:pPr>
            <w:pStyle w:val="Header"/>
            <w:bidi w:val="0"/>
            <w:ind w:right="-115"/>
            <w:jc w:val="right"/>
          </w:pPr>
        </w:p>
      </w:tc>
    </w:tr>
  </w:tbl>
  <w:p w:rsidR="343A3F57" w:rsidP="343A3F57" w:rsidRDefault="343A3F57" w14:paraId="6D940CA5" w14:textId="159DCF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0D41" w:rsidP="00710AF5" w:rsidRDefault="00730D41" w14:paraId="35EA7E11" w14:textId="77777777">
      <w:r>
        <w:separator/>
      </w:r>
    </w:p>
  </w:footnote>
  <w:footnote w:type="continuationSeparator" w:id="0">
    <w:p w:rsidR="00730D41" w:rsidP="00710AF5" w:rsidRDefault="00730D41" w14:paraId="2E23302E" w14:textId="77777777">
      <w:r>
        <w:continuationSeparator/>
      </w:r>
    </w:p>
  </w:footnote>
  <w:footnote w:id="14391">
    <w:p w:rsidR="343A3F57" w:rsidP="343A3F57" w:rsidRDefault="343A3F57" w14:paraId="52D21D5A" w14:textId="6301D043">
      <w:pPr>
        <w:pStyle w:val="FootnoteText"/>
        <w:bidi w:val="0"/>
        <w:spacing w:before="0" w:beforeAutospacing="off" w:after="160" w:afterAutospacing="off" w:line="230" w:lineRule="auto"/>
        <w:jc w:val="left"/>
      </w:pPr>
      <w:r w:rsidRPr="343A3F57">
        <w:rPr>
          <w:rStyle w:val="FootnoteReference"/>
        </w:rPr>
        <w:footnoteRef/>
      </w:r>
      <w:r w:rsidR="343A3F57">
        <w:rPr/>
        <w:t xml:space="preserve"> </w:t>
      </w:r>
      <w:r w:rsidRPr="343A3F57" w:rsidR="343A3F57">
        <w:rPr>
          <w:rFonts w:ascii="Aptos" w:hAnsi="Aptos" w:eastAsia="Aptos" w:cs="Aptos"/>
          <w:noProof w:val="0"/>
          <w:sz w:val="20"/>
          <w:szCs w:val="20"/>
          <w:lang w:val="en-GB"/>
        </w:rPr>
        <w:t>NOTE – this course will require a separate registration on CARE’s online learning platform, Disco</w:t>
      </w:r>
      <w:r w:rsidRPr="343A3F57" w:rsidR="343A3F57">
        <w:rPr>
          <w:rFonts w:ascii="Aptos" w:hAnsi="Aptos" w:eastAsia="Aptos" w:cs="Aptos"/>
          <w:noProof w:val="0"/>
          <w:sz w:val="20"/>
          <w:szCs w:val="20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AF5" w:rsidRDefault="00710AF5" w14:paraId="5DEA8ED2" w14:textId="77777777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3A3F57" w:rsidTr="343A3F57" w14:paraId="5C8ED5CC">
      <w:trPr>
        <w:trHeight w:val="300"/>
      </w:trPr>
      <w:tc>
        <w:tcPr>
          <w:tcW w:w="4320" w:type="dxa"/>
          <w:tcMar/>
        </w:tcPr>
        <w:p w:rsidR="343A3F57" w:rsidP="343A3F57" w:rsidRDefault="343A3F57" w14:paraId="2382B23C" w14:textId="7DD22B69">
          <w:pPr>
            <w:pStyle w:val="Header"/>
            <w:bidi w:val="0"/>
            <w:ind w:left="-115"/>
            <w:jc w:val="left"/>
          </w:pPr>
          <w:r w:rsidR="343A3F57">
            <w:drawing>
              <wp:inline wp14:editId="65E5D23C" wp14:anchorId="75D9409A">
                <wp:extent cx="8096250" cy="1057275"/>
                <wp:effectExtent l="0" t="0" r="0" b="0"/>
                <wp:docPr id="6365726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6572669" name="Picture 6365726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8146536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096250" cy="10572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Mar/>
        </w:tcPr>
        <w:p w:rsidR="343A3F57" w:rsidP="343A3F57" w:rsidRDefault="343A3F57" w14:paraId="4013EFBA" w14:textId="55DFA161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343A3F57" w:rsidP="343A3F57" w:rsidRDefault="343A3F57" w14:paraId="62B2CB5A" w14:textId="04A5E16B">
          <w:pPr>
            <w:pStyle w:val="Header"/>
            <w:bidi w:val="0"/>
            <w:ind w:right="-115"/>
            <w:jc w:val="right"/>
          </w:pPr>
        </w:p>
      </w:tc>
    </w:tr>
  </w:tbl>
  <w:p w:rsidR="343A3F57" w:rsidP="343A3F57" w:rsidRDefault="343A3F57" w14:paraId="4C98F2E4" w14:textId="646BD52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nsid w:val="dc94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1ce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287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0917EF"/>
    <w:rsid w:val="00095607"/>
    <w:rsid w:val="00122CCF"/>
    <w:rsid w:val="001322D3"/>
    <w:rsid w:val="0014453F"/>
    <w:rsid w:val="002D43AB"/>
    <w:rsid w:val="004363B0"/>
    <w:rsid w:val="005B22CA"/>
    <w:rsid w:val="006936F9"/>
    <w:rsid w:val="00710AF5"/>
    <w:rsid w:val="00721012"/>
    <w:rsid w:val="00730D41"/>
    <w:rsid w:val="008A31AB"/>
    <w:rsid w:val="00A0453F"/>
    <w:rsid w:val="00A57130"/>
    <w:rsid w:val="00AC1023"/>
    <w:rsid w:val="00B81BF9"/>
    <w:rsid w:val="00B825EA"/>
    <w:rsid w:val="00ED59A0"/>
    <w:rsid w:val="23160805"/>
    <w:rsid w:val="33C21878"/>
    <w:rsid w:val="343A3F57"/>
    <w:rsid w:val="448A4A3B"/>
    <w:rsid w:val="552D9C11"/>
    <w:rsid w:val="5D43E424"/>
    <w:rsid w:val="664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6F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36F9"/>
    <w:rPr>
      <w:rFonts w:ascii="Segoe UI" w:hAnsi="Segoe UI" w:cs="Segoe UI"/>
      <w:sz w:val="18"/>
      <w:szCs w:val="18"/>
      <w:lang w:val="en-GB"/>
    </w:rPr>
  </w:style>
  <w:style w:type="character" w:styleId="Hyperlink">
    <w:uiPriority w:val="99"/>
    <w:name w:val="Hyperlink"/>
    <w:basedOn w:val="DefaultParagraphFont"/>
    <w:unhideWhenUsed/>
    <w:rsid w:val="343A3F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footer" Target="footer.xml" Id="R1b43e60becce413f" /><Relationship Type="http://schemas.openxmlformats.org/officeDocument/2006/relationships/hyperlink" Target="https://gbvguidelines.org/sp-toolkit/start/" TargetMode="External" Id="R4e30ca8678be443b" /><Relationship Type="http://schemas.openxmlformats.org/officeDocument/2006/relationships/hyperlink" Target="https://gbvguidelines.org/wp/wp-content/uploads/2026/01/AAAQ-framework-GENERAL.pdf" TargetMode="External" Id="R894f87a6c49a4b56" /><Relationship Type="http://schemas.openxmlformats.org/officeDocument/2006/relationships/hyperlink" Target="https://gbvguidelines.org/wp/wp-content/uploads/2025/12/Tipsheet-for-non-GBV-specialists-on-asking-safety-related-questions.docx" TargetMode="External" Id="Rca260c0a936049d7" /><Relationship Type="http://schemas.openxmlformats.org/officeDocument/2006/relationships/hyperlink" Target="https://care.disco.co/p/for-do-no-harm-in-practice-toolkit-responding-to-gender-based-violence-disclosures" TargetMode="External" Id="Rbd20373b123f483a" /><Relationship Type="http://schemas.openxmlformats.org/officeDocument/2006/relationships/header" Target="header2.xml" Id="R88ebbc3f5ece42a4" /><Relationship Type="http://schemas.openxmlformats.org/officeDocument/2006/relationships/footer" Target="footer2.xml" Id="R421550601ff8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6814653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E8074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787246"/>
    <w:rsid w:val="007B7480"/>
    <w:rsid w:val="00A57130"/>
    <w:rsid w:val="00B10643"/>
    <w:rsid w:val="00BC032E"/>
    <w:rsid w:val="00D551D5"/>
    <w:rsid w:val="00E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Dina Hanania</lastModifiedBy>
  <revision>6</revision>
  <dcterms:created xsi:type="dcterms:W3CDTF">2021-04-09T18:30:00.0000000Z</dcterms:created>
  <dcterms:modified xsi:type="dcterms:W3CDTF">2026-02-27T22:15:02.0631203Z</dcterms:modified>
</coreProperties>
</file>