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0AF5" w:rsidR="00710AF5" w:rsidP="4770A9AC" w:rsidRDefault="00710AF5" w14:paraId="4B77461C" w14:textId="1BF397DE">
      <w:pPr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6C8C6978" w:rsidR="5D70FAC5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AAAQ FRAMEWORK – </w:t>
      </w:r>
      <w:r w:rsidRPr="6C8C6978" w:rsidR="5D70FAC5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8"/>
          <w:szCs w:val="28"/>
          <w:u w:val="single"/>
          <w:lang w:val="en-US"/>
        </w:rPr>
        <w:t>PROTECTION</w:t>
      </w:r>
    </w:p>
    <w:p w:rsidRPr="00710AF5" w:rsidR="00710AF5" w:rsidP="4770A9AC" w:rsidRDefault="00710AF5" w14:paraId="18548434" w14:textId="600AD780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770A9AC" w:rsidR="5D70FAC5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Source: Inter-agency GBV Risk Mitigation Online Course</w:t>
      </w:r>
    </w:p>
    <w:p w:rsidRPr="00710AF5" w:rsidR="00710AF5" w:rsidP="4770A9AC" w:rsidRDefault="00710AF5" w14:paraId="73456C63" w14:textId="2F6DA327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4770A9AC" w:rsidRDefault="00710AF5" w14:paraId="6A510AE0" w14:textId="57F3B0E3">
      <w:pPr>
        <w:spacing w:before="0" w:beforeAutospacing="off" w:after="0" w:afterAutospacing="off" w:line="240" w:lineRule="auto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6C8C6978" w:rsidR="5D70FAC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This tool is part of CARE’s</w:t>
      </w:r>
      <w:r w:rsidRPr="6C8C6978" w:rsidR="5D70FAC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ee6e5de5e7fc4878">
        <w:r w:rsidRPr="6C8C6978" w:rsidR="5D70FAC5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Do No Harm in Practice Toolkit</w:t>
        </w:r>
      </w:hyperlink>
      <w:r w:rsidRPr="6C8C6978" w:rsidR="5D70FAC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C8C6978" w:rsidR="5D70FAC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specifically the </w:t>
      </w:r>
      <w:r w:rsidRPr="6C8C6978" w:rsidR="5D70FAC5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6C8C6978" w:rsidR="5D70FAC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section.</w:t>
      </w:r>
    </w:p>
    <w:p w:rsidRPr="00710AF5" w:rsidR="00710AF5" w:rsidP="4770A9AC" w:rsidRDefault="00710AF5" w14:paraId="2DBBDF39" w14:textId="292BE655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4770A9AC" w:rsidRDefault="00710AF5" w14:paraId="0956E03A" w14:textId="6172984B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770A9AC" w:rsidR="5D70FA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IT?</w:t>
      </w:r>
    </w:p>
    <w:p w:rsidRPr="00710AF5" w:rsidR="00710AF5" w:rsidP="15081958" w:rsidRDefault="00710AF5" w14:paraId="0E053FBC" w14:textId="6EA60E43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6C8C6978" w:rsidR="5D70FAC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6C8C6978" w:rsidR="5D70FAC5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4"/>
          <w:szCs w:val="24"/>
          <w:u w:val="single"/>
          <w:lang w:val="en-GB"/>
        </w:rPr>
        <w:t>Availability, Accessibility, Acceptability and Quality (AAAQ) f</w:t>
      </w:r>
      <w:r w:rsidRPr="6C8C6978" w:rsidR="5D70FAC5">
        <w:rPr>
          <w:rFonts w:ascii="Aptos" w:hAnsi="Aptos" w:eastAsia="Aptos" w:cs="Aptos"/>
          <w:b w:val="1"/>
          <w:bCs w:val="1"/>
          <w:strike w:val="0"/>
          <w:dstrike w:val="0"/>
          <w:noProof w:val="0"/>
          <w:sz w:val="24"/>
          <w:szCs w:val="24"/>
          <w:u w:val="single"/>
          <w:lang w:val="en-GB"/>
        </w:rPr>
        <w:t xml:space="preserve">ramework 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is a simple assessment and analysis tool that is useful for assessing all types of services and particularly for 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GB"/>
        </w:rPr>
        <w:t>identifying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barriers to services that may not be 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GB"/>
        </w:rPr>
        <w:t>immediately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GB"/>
        </w:rPr>
        <w:t>apparent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Detailed information on the AAAQ is available </w:t>
      </w:r>
      <w:hyperlink r:id="R286b9248e3bc4f37">
        <w:r w:rsidRPr="6C8C6978" w:rsidR="5D70FAC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here</w:t>
        </w:r>
      </w:hyperlink>
      <w:r w:rsidRPr="6C8C6978" w:rsidR="5D70FAC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The version of the AAAQ included below is pre-tailored for use by the </w:t>
      </w:r>
      <w:r w:rsidRPr="6C8C6978" w:rsidR="5D70FA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Protection 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GB"/>
        </w:rPr>
        <w:t>sector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.  </w:t>
      </w:r>
    </w:p>
    <w:p w:rsidRPr="00710AF5" w:rsidR="00710AF5" w:rsidP="4770A9AC" w:rsidRDefault="00710AF5" w14:paraId="3189082B" w14:textId="79AC7E36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4770A9AC" w:rsidRDefault="00710AF5" w14:paraId="039D96F7" w14:textId="4A18FF55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8C6978" w:rsidR="5D70FA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GOOD PRACTICE FOR USING THIS TOOL</w:t>
      </w:r>
    </w:p>
    <w:p w:rsidRPr="00710AF5" w:rsidR="00710AF5" w:rsidP="4770A9AC" w:rsidRDefault="00710AF5" w14:paraId="58B21483" w14:textId="0638466D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8C6978" w:rsidR="5D70FAC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you have read and understood the </w:t>
      </w:r>
      <w:hyperlink r:id="Re1324a7772d44854">
        <w:r w:rsidRPr="6C8C6978" w:rsidR="5D70FAC5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T</w:t>
        </w:r>
        <w:r w:rsidRPr="6C8C6978" w:rsidR="5D70FAC5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ipsheet for non-GBV </w:t>
        </w:r>
        <w:r w:rsidRPr="6C8C6978" w:rsidR="5D70FAC5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specialists</w:t>
        </w:r>
        <w:r w:rsidRPr="6C8C6978" w:rsidR="5D70FAC5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on</w:t>
        </w:r>
        <w:r w:rsidRPr="6C8C6978" w:rsidR="5D70FAC5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asking questions about safety</w:t>
        </w:r>
      </w:hyperlink>
      <w:r w:rsidRPr="6C8C6978" w:rsidR="5D70FAC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undertaking any GBV risk-related assessments.</w:t>
      </w:r>
    </w:p>
    <w:p w:rsidRPr="00710AF5" w:rsidR="00710AF5" w:rsidP="4770A9AC" w:rsidRDefault="00710AF5" w14:paraId="253212F9" w14:textId="5FD63708">
      <w:pPr>
        <w:pStyle w:val="ListParagraph"/>
        <w:numPr>
          <w:ilvl w:val="0"/>
          <w:numId w:val="8"/>
        </w:numPr>
        <w:ind w:left="108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8C6978" w:rsidR="5D70FAC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All enumerators should first be trained 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C8C6978" w:rsidR="5D70FA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6C8C6978" w:rsidR="5D70FA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appropriate response</w:t>
      </w:r>
      <w:r w:rsidRPr="6C8C6978" w:rsidR="5D70FA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any interviews using this guide. A training guide on this topic can be found </w:t>
      </w:r>
      <w:hyperlink r:id="Ra2631e3ee4844317">
        <w:r w:rsidRPr="6C8C6978" w:rsidR="5D70FAC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6C8C6978">
        <w:rPr>
          <w:rStyle w:val="FootnoteReference"/>
          <w:rFonts w:ascii="Aptos" w:hAnsi="Aptos" w:eastAsia="Aptos" w:cs="Aptos"/>
          <w:noProof w:val="0"/>
          <w:sz w:val="24"/>
          <w:szCs w:val="24"/>
          <w:lang w:val="en-US"/>
        </w:rPr>
        <w:footnoteReference w:id="6709"/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710AF5" w:rsidR="00710AF5" w:rsidP="4770A9AC" w:rsidRDefault="00710AF5" w14:paraId="23A9A755" w14:textId="2266DC04">
      <w:pPr>
        <w:pStyle w:val="ListParagraph"/>
        <w:numPr>
          <w:ilvl w:val="0"/>
          <w:numId w:val="9"/>
        </w:numPr>
        <w:spacing w:before="0" w:beforeAutospacing="off" w:after="0" w:afterAutospacing="off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8C6978" w:rsidR="5D70FA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context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It is unlikely that ALL questions/areas of inquiry </w:t>
      </w:r>
      <w:r w:rsidRPr="6C8C6978" w:rsidR="5D70FAC5">
        <w:rPr>
          <w:rFonts w:ascii="Aptos" w:hAnsi="Aptos" w:eastAsia="Aptos" w:cs="Aptos"/>
          <w:noProof w:val="0"/>
          <w:sz w:val="24"/>
          <w:szCs w:val="24"/>
          <w:lang w:val="en-US"/>
        </w:rPr>
        <w:t>noted below will be relevant for your context or that the examples given will suit your context exactly. Pick, choose and adapt as needed.</w:t>
      </w:r>
    </w:p>
    <w:p w:rsidRPr="00710AF5" w:rsidR="00710AF5" w:rsidP="4770A9AC" w:rsidRDefault="00710AF5" w14:paraId="1ADC1C97" w14:textId="5337E255">
      <w:pPr>
        <w:pStyle w:val="ListParagraph"/>
        <w:numPr>
          <w:ilvl w:val="0"/>
          <w:numId w:val="9"/>
        </w:numPr>
        <w:spacing w:before="0" w:beforeAutospacing="off" w:after="0" w:afterAutospacing="off" w:line="259" w:lineRule="auto"/>
        <w:ind w:left="1080" w:right="0" w:hanging="72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770A9AC" w:rsidR="5D70FAC5">
        <w:rPr>
          <w:rFonts w:ascii="Aptos" w:hAnsi="Aptos" w:eastAsia="Aptos" w:cs="Aptos"/>
          <w:noProof w:val="0"/>
          <w:sz w:val="24"/>
          <w:szCs w:val="24"/>
          <w:lang w:val="en-US"/>
        </w:rPr>
        <w:t>There are multiple methodologies for using the AAAQ framework, but it is best suited for Key Informant Interviews (KIIs), Focus Group Discussions (FGDs), safety audits, or a combination.</w:t>
      </w:r>
    </w:p>
    <w:p w:rsidRPr="00710AF5" w:rsidR="00710AF5" w:rsidP="4770A9AC" w:rsidRDefault="00710AF5" w14:paraId="18E31F58" w14:textId="0D8BAFAB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710AF5" w:rsidR="00710AF5" w:rsidP="4770A9AC" w:rsidRDefault="00710AF5" w14:paraId="7B351062" w14:textId="57F05E3B">
      <w:pPr>
        <w:spacing w:after="0" w:line="240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770A9AC" w:rsidR="5D70FAC5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____________________________________________________________________________________________________________________</w:t>
      </w:r>
    </w:p>
    <w:p w:rsidRPr="00710AF5" w:rsidR="00710AF5" w:rsidP="4770A9AC" w:rsidRDefault="00710AF5" w14:paraId="4F7E8F1A" w14:textId="640E237E">
      <w:pPr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</w:p>
    <w:p w:rsidRPr="00710AF5" w:rsidR="00710AF5" w:rsidP="6C8C6978" w:rsidRDefault="00710AF5" w14:paraId="44F7659B" w14:textId="51112FD8">
      <w:pPr>
        <w:jc w:val="left"/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</w:pPr>
    </w:p>
    <w:p w:rsidRPr="00710AF5" w:rsidR="00710AF5" w:rsidP="6C8C6978" w:rsidRDefault="00710AF5" w14:paraId="2754F181" w14:textId="71E74CD4">
      <w:pPr/>
      <w:r>
        <w:br w:type="page"/>
      </w:r>
    </w:p>
    <w:p w:rsidRPr="00710AF5" w:rsidR="00710AF5" w:rsidP="6C8C6978" w:rsidRDefault="00710AF5" w14:paraId="3890A5D6" w14:textId="03F9CEB4">
      <w:pPr>
        <w:pStyle w:val="Normal"/>
        <w:jc w:val="left"/>
        <w:rPr>
          <w:rFonts w:ascii="Univers" w:hAnsi="Univers" w:eastAsia="Univers" w:cs="Univers"/>
          <w:noProof w:val="0"/>
          <w:sz w:val="24"/>
          <w:szCs w:val="24"/>
          <w:lang w:val="en-US"/>
        </w:rPr>
      </w:pPr>
      <w:r w:rsidRPr="6C8C6978" w:rsidR="5D70FAC5">
        <w:rPr>
          <w:rFonts w:ascii="Univers" w:hAnsi="Univers" w:eastAsia="Univers" w:cs="Univers"/>
          <w:b w:val="1"/>
          <w:bCs w:val="1"/>
          <w:noProof w:val="0"/>
          <w:sz w:val="24"/>
          <w:szCs w:val="24"/>
          <w:lang w:val="en-GB"/>
        </w:rPr>
        <w:t>AAAQ FRAMEWORK FOR PROTECTION</w:t>
      </w:r>
    </w:p>
    <w:p w:rsidRPr="00710AF5" w:rsidR="00710AF5" w:rsidP="4770A9AC" w:rsidRDefault="00710AF5" w14:paraId="59E8A7B6" w14:textId="5045E2A7">
      <w:pPr>
        <w:jc w:val="both"/>
        <w:rPr>
          <w:rFonts w:ascii="Univers" w:hAnsi="Univers" w:cs="Calibri" w:cstheme="minorAscii"/>
          <w:sz w:val="20"/>
          <w:szCs w:val="20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2817"/>
        <w:gridCol w:w="10228"/>
      </w:tblGrid>
      <w:tr w:rsidRPr="00710AF5" w:rsidR="00710AF5" w:rsidTr="46F95FB0" w14:paraId="134554FC" w14:textId="77777777">
        <w:tc>
          <w:tcPr>
            <w:tcW w:w="2817" w:type="dxa"/>
            <w:shd w:val="clear" w:color="auto" w:fill="ED7D31" w:themeFill="accent2"/>
            <w:tcMar/>
          </w:tcPr>
          <w:p w:rsidRPr="00710AF5" w:rsidR="00710AF5" w:rsidP="00256D54" w:rsidRDefault="00710AF5" w14:paraId="4D76DC44" w14:textId="5548AF8D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>AAAQ</w:t>
            </w:r>
            <w:proofErr w:type="spellEnd"/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 Category</w:t>
            </w:r>
          </w:p>
        </w:tc>
        <w:tc>
          <w:tcPr>
            <w:tcW w:w="10228" w:type="dxa"/>
            <w:shd w:val="clear" w:color="auto" w:fill="ED7D31" w:themeFill="accent2"/>
            <w:tcMar/>
          </w:tcPr>
          <w:p w:rsidRPr="00710AF5" w:rsidR="00710AF5" w:rsidP="00256D54" w:rsidRDefault="00710AF5" w14:paraId="63ECECCD" w14:textId="77777777">
            <w:pPr>
              <w:jc w:val="left"/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b/>
                <w:color w:val="FFFFFF" w:themeColor="background1"/>
                <w:sz w:val="20"/>
                <w:szCs w:val="20"/>
              </w:rPr>
              <w:t xml:space="preserve">Guiding questions for analysis </w:t>
            </w:r>
          </w:p>
        </w:tc>
      </w:tr>
      <w:tr w:rsidRPr="00710AF5" w:rsidR="00710AF5" w:rsidTr="46F95FB0" w14:paraId="4D2E2535" w14:textId="77777777">
        <w:tc>
          <w:tcPr>
            <w:tcW w:w="2817" w:type="dxa"/>
            <w:tcMar/>
          </w:tcPr>
          <w:p w:rsidRPr="00122CCF" w:rsidR="00710AF5" w:rsidP="00256D54" w:rsidRDefault="00710AF5" w14:paraId="65D9F939" w14:textId="77777777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 xml:space="preserve">Availability </w:t>
            </w:r>
          </w:p>
        </w:tc>
        <w:tc>
          <w:tcPr>
            <w:tcW w:w="10228" w:type="dxa"/>
            <w:tcMar/>
          </w:tcPr>
          <w:p w:rsidR="00710AF5" w:rsidP="00710AF5" w:rsidRDefault="004363B0" w14:paraId="3CC39654" w14:textId="77777777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>
              <w:rPr>
                <w:rFonts w:ascii="Univers" w:hAnsi="Univers" w:cstheme="minorHAnsi"/>
                <w:sz w:val="20"/>
                <w:szCs w:val="20"/>
              </w:rPr>
              <w:t>Are</w:t>
            </w:r>
            <w:r w:rsidRPr="00710AF5" w:rsidR="00710AF5">
              <w:rPr>
                <w:rFonts w:ascii="Univers" w:hAnsi="Univers" w:cstheme="minorHAnsi"/>
                <w:sz w:val="20"/>
                <w:szCs w:val="20"/>
              </w:rPr>
              <w:t xml:space="preserve"> protection services available according to the minimum standards? </w:t>
            </w:r>
          </w:p>
          <w:p w:rsidRPr="00710AF5" w:rsidR="00513A03" w:rsidP="00710AF5" w:rsidRDefault="00513A03" w14:paraId="763AE9F4" w14:textId="54087426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>
              <w:rPr>
                <w:rFonts w:ascii="Univers" w:hAnsi="Univers" w:cstheme="minorHAnsi"/>
                <w:sz w:val="20"/>
                <w:szCs w:val="20"/>
              </w:rPr>
              <w:t>Are adequate protection staff available?</w:t>
            </w:r>
          </w:p>
        </w:tc>
      </w:tr>
      <w:tr w:rsidRPr="00710AF5" w:rsidR="00710AF5" w:rsidTr="46F95FB0" w14:paraId="58D50B59" w14:textId="77777777">
        <w:tc>
          <w:tcPr>
            <w:tcW w:w="2817" w:type="dxa"/>
            <w:tcMar/>
          </w:tcPr>
          <w:p w:rsidRPr="00122CCF" w:rsidR="00710AF5" w:rsidP="00256D54" w:rsidRDefault="00710AF5" w14:paraId="7E564DEC" w14:textId="0AED838E">
            <w:pPr>
              <w:jc w:val="left"/>
              <w:rPr>
                <w:rFonts w:ascii="Univers" w:hAnsi="Univers" w:cstheme="minorHAnsi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 w:cstheme="minorHAnsi"/>
                <w:b/>
                <w:bCs/>
                <w:sz w:val="20"/>
                <w:szCs w:val="20"/>
              </w:rPr>
              <w:t>Accessibility:</w:t>
            </w:r>
          </w:p>
          <w:p w:rsidRPr="00710AF5" w:rsidR="00122CCF" w:rsidP="00256D54" w:rsidRDefault="00122CCF" w14:paraId="54DC8C4B" w14:textId="77777777">
            <w:pPr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710AF5" w:rsidP="00122CCF" w:rsidRDefault="00710AF5" w14:paraId="4FF8579C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Physical accessibility </w:t>
            </w:r>
          </w:p>
        </w:tc>
        <w:tc>
          <w:tcPr>
            <w:tcW w:w="10228" w:type="dxa"/>
            <w:tcMar/>
          </w:tcPr>
          <w:p w:rsidRPr="00710AF5" w:rsidR="00710AF5" w:rsidP="00256D54" w:rsidRDefault="00710AF5" w14:paraId="0545E5B3" w14:textId="09B5390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Are 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>protection services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located within a reasonable distance for 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>affected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>populations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? </w:t>
            </w:r>
          </w:p>
          <w:p w:rsidRPr="00710AF5" w:rsidR="00710AF5" w:rsidP="00256D54" w:rsidRDefault="00710AF5" w14:paraId="6589B853" w14:textId="5F4164F8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Is the route to and from 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>protection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services safe to travel for 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>women, girls, men and boys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</w:t>
            </w:r>
            <w:r w:rsidR="004363B0">
              <w:rPr>
                <w:rFonts w:ascii="Univers" w:hAnsi="Univers" w:cstheme="minorHAnsi"/>
                <w:sz w:val="20"/>
                <w:szCs w:val="20"/>
              </w:rPr>
              <w:t>of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different age</w:t>
            </w:r>
            <w:r w:rsidR="004363B0">
              <w:rPr>
                <w:rFonts w:ascii="Univers" w:hAnsi="Univers" w:cstheme="minorHAnsi"/>
                <w:sz w:val="20"/>
                <w:szCs w:val="20"/>
              </w:rPr>
              <w:t>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and disabilities? </w:t>
            </w:r>
          </w:p>
          <w:p w:rsidRPr="00710AF5" w:rsidR="00710AF5" w:rsidP="15081958" w:rsidRDefault="00710AF5" w14:paraId="6F71401C" w14:textId="54077F55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="Calibri" w:cstheme="minorAscii"/>
                <w:sz w:val="20"/>
                <w:szCs w:val="20"/>
              </w:rPr>
            </w:pPr>
            <w:r w:rsidRPr="46F95FB0" w:rsidR="5B6EB777">
              <w:rPr>
                <w:rFonts w:ascii="Univers" w:hAnsi="Univers" w:cs="Calibri" w:cstheme="minorAscii"/>
                <w:sz w:val="20"/>
                <w:szCs w:val="20"/>
              </w:rPr>
              <w:t xml:space="preserve">Are there other forms of physical barriers, </w:t>
            </w:r>
            <w:r w:rsidRPr="46F95FB0" w:rsidR="5B6EB777">
              <w:rPr>
                <w:rFonts w:ascii="Univers" w:hAnsi="Univers" w:cs="Calibri" w:cstheme="minorAscii"/>
                <w:sz w:val="20"/>
                <w:szCs w:val="20"/>
              </w:rPr>
              <w:t>such as armed guards outside</w:t>
            </w:r>
            <w:r w:rsidRPr="46F95FB0" w:rsidR="10E9AC85">
              <w:rPr>
                <w:rFonts w:ascii="Univers" w:hAnsi="Univers" w:cs="Calibri" w:cstheme="minorAscii"/>
                <w:sz w:val="20"/>
                <w:szCs w:val="20"/>
              </w:rPr>
              <w:t xml:space="preserve"> or along common routes to/from</w:t>
            </w:r>
            <w:r w:rsidRPr="46F95FB0" w:rsidR="5B6EB777">
              <w:rPr>
                <w:rFonts w:ascii="Univers" w:hAnsi="Univers" w:cs="Calibri" w:cstheme="minorAscii"/>
                <w:sz w:val="20"/>
                <w:szCs w:val="20"/>
              </w:rPr>
              <w:t xml:space="preserve"> </w:t>
            </w:r>
            <w:r w:rsidRPr="46F95FB0" w:rsidR="608CD61D">
              <w:rPr>
                <w:rFonts w:ascii="Univers" w:hAnsi="Univers" w:cs="Calibri" w:cstheme="minorAscii"/>
                <w:sz w:val="20"/>
                <w:szCs w:val="20"/>
              </w:rPr>
              <w:t>protection facilities such as registration tents, etc</w:t>
            </w:r>
            <w:r w:rsidRPr="46F95FB0" w:rsidR="5B6EB777">
              <w:rPr>
                <w:rFonts w:ascii="Univers" w:hAnsi="Univers" w:cs="Calibri" w:cstheme="minorAscii"/>
                <w:sz w:val="20"/>
                <w:szCs w:val="20"/>
              </w:rPr>
              <w:t xml:space="preserve">? </w:t>
            </w:r>
          </w:p>
          <w:p w:rsidRPr="00710AF5" w:rsidR="00710AF5" w:rsidP="00256D54" w:rsidRDefault="00710AF5" w14:paraId="66B56AF4" w14:textId="76649A9B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>Are there any safety concerns for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 xml:space="preserve"> different groups (ages, ethnicities, religions, etc.)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 xml:space="preserve"> in accessing </w:t>
            </w:r>
            <w:r w:rsidR="00513A03">
              <w:rPr>
                <w:rFonts w:ascii="Univers" w:hAnsi="Univers" w:cstheme="minorHAnsi"/>
                <w:sz w:val="20"/>
                <w:szCs w:val="20"/>
              </w:rPr>
              <w:t>any protection services</w:t>
            </w:r>
            <w:r w:rsidRPr="00710AF5">
              <w:rPr>
                <w:rFonts w:ascii="Univers" w:hAnsi="Univers" w:cstheme="minorHAnsi"/>
                <w:sz w:val="20"/>
                <w:szCs w:val="20"/>
              </w:rPr>
              <w:t>?</w:t>
            </w:r>
          </w:p>
        </w:tc>
      </w:tr>
      <w:tr w:rsidRPr="00710AF5" w:rsidR="00710AF5" w:rsidTr="46F95FB0" w14:paraId="51098682" w14:textId="77777777">
        <w:tc>
          <w:tcPr>
            <w:tcW w:w="2817" w:type="dxa"/>
            <w:tcMar/>
          </w:tcPr>
          <w:p w:rsidR="00122CCF" w:rsidP="00122CCF" w:rsidRDefault="00122CCF" w14:paraId="6D9B31DA" w14:textId="77777777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</w:p>
          <w:p w:rsidRPr="00710AF5" w:rsidR="00710AF5" w:rsidP="00122CCF" w:rsidRDefault="00710AF5" w14:paraId="00214714" w14:textId="2BFEEB72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 w:cstheme="minorHAnsi"/>
                <w:sz w:val="20"/>
                <w:szCs w:val="20"/>
              </w:rPr>
              <w:t>Financial Accessibility</w:t>
            </w:r>
          </w:p>
        </w:tc>
        <w:tc>
          <w:tcPr>
            <w:tcW w:w="10228" w:type="dxa"/>
            <w:tcMar/>
          </w:tcPr>
          <w:p w:rsidRPr="00710AF5" w:rsidR="00710AF5" w:rsidP="00256D54" w:rsidRDefault="00710AF5" w14:paraId="17B07367" w14:textId="2E85B9C4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Do users have to pay a fee for any </w:t>
            </w:r>
            <w:r w:rsidR="00513A03">
              <w:rPr>
                <w:rFonts w:ascii="Univers" w:hAnsi="Univers"/>
                <w:sz w:val="20"/>
                <w:szCs w:val="20"/>
              </w:rPr>
              <w:t>protection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services? If so, is the fee reasonable/manageable given the economic circumstances/means? If there a system to provide financial support to those who have no financial means? Who would be the most affected by a fee?</w:t>
            </w:r>
          </w:p>
          <w:p w:rsidRPr="00710AF5" w:rsidR="00710AF5" w:rsidP="00256D54" w:rsidRDefault="00710AF5" w14:paraId="6748058B" w14:textId="384B2D4A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If no formal fee, are there any other hidden fees such as transportation, levy and others that hinder access to </w:t>
            </w:r>
            <w:r w:rsidR="00513A03">
              <w:rPr>
                <w:rFonts w:ascii="Univers" w:hAnsi="Univers"/>
                <w:sz w:val="20"/>
                <w:szCs w:val="20"/>
              </w:rPr>
              <w:t>protection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services?</w:t>
            </w:r>
          </w:p>
        </w:tc>
      </w:tr>
      <w:tr w:rsidRPr="00710AF5" w:rsidR="00710AF5" w:rsidTr="46F95FB0" w14:paraId="31928F8A" w14:textId="77777777">
        <w:tc>
          <w:tcPr>
            <w:tcW w:w="2817" w:type="dxa"/>
            <w:tcMar/>
          </w:tcPr>
          <w:p w:rsidR="00122CCF" w:rsidP="00122CCF" w:rsidRDefault="00122CCF" w14:paraId="72CB366B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="00122CCF" w:rsidP="00122CCF" w:rsidRDefault="00710AF5" w14:paraId="14B8A70E" w14:textId="75D4764C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Bureaucratic/</w:t>
            </w:r>
          </w:p>
          <w:p w:rsidRPr="00710AF5" w:rsidR="00710AF5" w:rsidP="00122CCF" w:rsidRDefault="00710AF5" w14:paraId="757A138C" w14:textId="131B2DCC">
            <w:pPr>
              <w:ind w:left="720"/>
              <w:jc w:val="left"/>
              <w:rPr>
                <w:rFonts w:ascii="Univers" w:hAnsi="Univers" w:cstheme="minorHAnsi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administrative accessibility</w:t>
            </w:r>
          </w:p>
        </w:tc>
        <w:tc>
          <w:tcPr>
            <w:tcW w:w="10228" w:type="dxa"/>
            <w:tcMar/>
          </w:tcPr>
          <w:p w:rsidRPr="00710AF5" w:rsidR="00710AF5" w:rsidP="00256D54" w:rsidRDefault="00710AF5" w14:paraId="674CD865" w14:textId="43103DB2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procedural steps that </w:t>
            </w:r>
            <w:r w:rsidR="00513A03">
              <w:rPr>
                <w:rFonts w:ascii="Univers" w:hAnsi="Univers"/>
                <w:sz w:val="20"/>
                <w:szCs w:val="20"/>
              </w:rPr>
              <w:t>any members of the population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must complete to receive </w:t>
            </w:r>
            <w:r w:rsidR="00513A03">
              <w:rPr>
                <w:rFonts w:ascii="Univers" w:hAnsi="Univers"/>
                <w:sz w:val="20"/>
                <w:szCs w:val="20"/>
              </w:rPr>
              <w:t>protection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services? Are there any </w:t>
            </w:r>
            <w:r w:rsidR="00513A03">
              <w:rPr>
                <w:rFonts w:ascii="Univers" w:hAnsi="Univers"/>
                <w:sz w:val="20"/>
                <w:szCs w:val="20"/>
              </w:rPr>
              <w:t>persons/groups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who </w:t>
            </w:r>
            <w:r w:rsidR="004363B0">
              <w:rPr>
                <w:rFonts w:ascii="Univers" w:hAnsi="Univers"/>
                <w:sz w:val="20"/>
                <w:szCs w:val="20"/>
              </w:rPr>
              <w:t>may be more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negative</w:t>
            </w:r>
            <w:r w:rsidR="004363B0">
              <w:rPr>
                <w:rFonts w:ascii="Univers" w:hAnsi="Univers"/>
                <w:sz w:val="20"/>
                <w:szCs w:val="20"/>
              </w:rPr>
              <w:t>ly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</w:t>
            </w:r>
            <w:r w:rsidR="004363B0">
              <w:rPr>
                <w:rFonts w:ascii="Univers" w:hAnsi="Univers"/>
                <w:sz w:val="20"/>
                <w:szCs w:val="20"/>
              </w:rPr>
              <w:t>a</w:t>
            </w:r>
            <w:r w:rsidRPr="00710AF5">
              <w:rPr>
                <w:rFonts w:ascii="Univers" w:hAnsi="Univers"/>
                <w:sz w:val="20"/>
                <w:szCs w:val="20"/>
              </w:rPr>
              <w:t>ffect</w:t>
            </w:r>
            <w:r w:rsidR="004363B0">
              <w:rPr>
                <w:rFonts w:ascii="Univers" w:hAnsi="Univers"/>
                <w:sz w:val="20"/>
                <w:szCs w:val="20"/>
              </w:rPr>
              <w:t>ed by this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than others?</w:t>
            </w:r>
          </w:p>
          <w:p w:rsidRPr="00710AF5" w:rsidR="00710AF5" w:rsidP="00256D54" w:rsidRDefault="00710AF5" w14:paraId="0A168252" w14:textId="3E21597D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any </w:t>
            </w:r>
            <w:r w:rsidR="00513A03">
              <w:rPr>
                <w:rFonts w:ascii="Univers" w:hAnsi="Univers"/>
                <w:sz w:val="20"/>
                <w:szCs w:val="20"/>
              </w:rPr>
              <w:t>groups/sub-groups within the population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who are not receiving other humanitarian services due to lack of civil documents like registration? Is there a plan to support birth registration and access to other civil documents?</w:t>
            </w:r>
          </w:p>
          <w:p w:rsidRPr="00710AF5" w:rsidR="00710AF5" w:rsidP="00256D54" w:rsidRDefault="00710AF5" w14:paraId="1C923F49" w14:textId="2C45079D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any other bureaucratic/administrative barriers that hinder access to </w:t>
            </w:r>
            <w:r w:rsidR="00513A03">
              <w:rPr>
                <w:rFonts w:ascii="Univers" w:hAnsi="Univers"/>
                <w:sz w:val="20"/>
                <w:szCs w:val="20"/>
              </w:rPr>
              <w:t>protection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services and other humanitarian services?</w:t>
            </w:r>
          </w:p>
        </w:tc>
      </w:tr>
      <w:tr w:rsidRPr="00710AF5" w:rsidR="00710AF5" w:rsidTr="46F95FB0" w14:paraId="545F5C73" w14:textId="77777777">
        <w:tc>
          <w:tcPr>
            <w:tcW w:w="2817" w:type="dxa"/>
            <w:tcMar/>
          </w:tcPr>
          <w:p w:rsidR="00122CCF" w:rsidP="00122CCF" w:rsidRDefault="00122CCF" w14:paraId="3765C9C1" w14:textId="7777777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</w:p>
          <w:p w:rsidRPr="00710AF5" w:rsidR="00710AF5" w:rsidP="00122CCF" w:rsidRDefault="00710AF5" w14:paraId="5E996790" w14:textId="78F3ADF7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>Social accessibility</w:t>
            </w:r>
          </w:p>
        </w:tc>
        <w:tc>
          <w:tcPr>
            <w:tcW w:w="10228" w:type="dxa"/>
            <w:tcMar/>
          </w:tcPr>
          <w:p w:rsidRPr="00710AF5" w:rsidR="00710AF5" w:rsidP="00256D54" w:rsidRDefault="00710AF5" w14:paraId="3E26F5A0" w14:textId="097B4C9C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Do </w:t>
            </w:r>
            <w:r w:rsidR="00513A03">
              <w:rPr>
                <w:rFonts w:ascii="Univers" w:hAnsi="Univers"/>
                <w:sz w:val="20"/>
                <w:szCs w:val="20"/>
              </w:rPr>
              <w:t>protection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services respect and practice non-discriminatio</w:t>
            </w:r>
            <w:r w:rsidR="00513A03">
              <w:rPr>
                <w:rFonts w:ascii="Univers" w:hAnsi="Univers"/>
                <w:sz w:val="20"/>
                <w:szCs w:val="20"/>
              </w:rPr>
              <w:t>n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710AF5" w:rsidR="00710AF5" w:rsidP="00256D54" w:rsidRDefault="00710AF5" w14:paraId="77A9CDB1" w14:textId="0550249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certain groups excluded from </w:t>
            </w:r>
            <w:r w:rsidR="00513A03">
              <w:rPr>
                <w:rFonts w:ascii="Univers" w:hAnsi="Univers"/>
                <w:sz w:val="20"/>
                <w:szCs w:val="20"/>
              </w:rPr>
              <w:t>protection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 services because of language barriers? </w:t>
            </w:r>
          </w:p>
          <w:p w:rsidRPr="00710AF5" w:rsidR="00710AF5" w:rsidP="00256D54" w:rsidRDefault="00710AF5" w14:paraId="484505F2" w14:textId="789EA331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adequate numbers of female frontline workers i.e. </w:t>
            </w:r>
            <w:r w:rsidR="00513A03">
              <w:rPr>
                <w:rFonts w:ascii="Univers" w:hAnsi="Univers"/>
                <w:sz w:val="20"/>
                <w:szCs w:val="20"/>
              </w:rPr>
              <w:t xml:space="preserve">protection officers, lawyers, 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caseworkers, volunteers </w:t>
            </w:r>
            <w:r w:rsidR="00513A03">
              <w:rPr>
                <w:rFonts w:ascii="Univers" w:hAnsi="Univers"/>
                <w:sz w:val="20"/>
                <w:szCs w:val="20"/>
              </w:rPr>
              <w:t>etc.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710AF5" w:rsidR="00710AF5" w:rsidP="00256D54" w:rsidRDefault="00710AF5" w14:paraId="1B01FE7E" w14:textId="4193448C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social norms/cultural barriers that hinder </w:t>
            </w:r>
            <w:r w:rsidR="00513A03">
              <w:rPr>
                <w:rFonts w:ascii="Univers" w:hAnsi="Univers"/>
                <w:sz w:val="20"/>
                <w:szCs w:val="20"/>
              </w:rPr>
              <w:t xml:space="preserve">access to protection </w:t>
            </w:r>
            <w:r w:rsidRPr="00710AF5">
              <w:rPr>
                <w:rFonts w:ascii="Univers" w:hAnsi="Univers"/>
                <w:sz w:val="20"/>
                <w:szCs w:val="20"/>
              </w:rPr>
              <w:t xml:space="preserve">services and other humanitarian services? </w:t>
            </w:r>
          </w:p>
          <w:p w:rsidRPr="00710AF5" w:rsidR="00710AF5" w:rsidP="00256D54" w:rsidRDefault="00710AF5" w14:paraId="368CD8A1" w14:textId="245BA6DD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710AF5">
              <w:rPr>
                <w:rFonts w:ascii="Univers" w:hAnsi="Univers"/>
                <w:sz w:val="20"/>
                <w:szCs w:val="20"/>
              </w:rPr>
              <w:t xml:space="preserve">Are there social norms/cultural barriers that hinder local women from working </w:t>
            </w:r>
            <w:r w:rsidR="00513A03">
              <w:rPr>
                <w:rFonts w:ascii="Univers" w:hAnsi="Univers"/>
                <w:sz w:val="20"/>
                <w:szCs w:val="20"/>
              </w:rPr>
              <w:t xml:space="preserve">with/for protection </w:t>
            </w:r>
            <w:r w:rsidRPr="00710AF5">
              <w:rPr>
                <w:rFonts w:ascii="Univers" w:hAnsi="Univers"/>
                <w:sz w:val="20"/>
                <w:szCs w:val="20"/>
              </w:rPr>
              <w:t>services?</w:t>
            </w:r>
          </w:p>
        </w:tc>
      </w:tr>
      <w:tr w:rsidRPr="00710AF5" w:rsidR="00710AF5" w:rsidTr="46F95FB0" w14:paraId="2871A6A5" w14:textId="77777777">
        <w:trPr>
          <w:trHeight w:val="917"/>
        </w:trPr>
        <w:tc>
          <w:tcPr>
            <w:tcW w:w="2817" w:type="dxa"/>
            <w:tcMar/>
          </w:tcPr>
          <w:p w:rsidRPr="00122CCF" w:rsidR="00710AF5" w:rsidP="00122CCF" w:rsidRDefault="00710AF5" w14:paraId="696A77F3" w14:textId="2F806561" w14:noSpellErr="1">
            <w:pPr>
              <w:ind w:left="720"/>
              <w:jc w:val="left"/>
              <w:rPr>
                <w:rFonts w:ascii="Univers" w:hAnsi="Univers"/>
                <w:sz w:val="20"/>
                <w:szCs w:val="20"/>
              </w:rPr>
            </w:pPr>
            <w:r w:rsidRPr="46F95FB0" w:rsidR="5B6EB777">
              <w:rPr>
                <w:rFonts w:ascii="Univers" w:hAnsi="Univers"/>
                <w:sz w:val="20"/>
                <w:szCs w:val="20"/>
              </w:rPr>
              <w:t>Information</w:t>
            </w:r>
            <w:r w:rsidRPr="46F95FB0" w:rsidR="2B1BBEDE">
              <w:rPr>
                <w:rFonts w:ascii="Univers" w:hAnsi="Univers"/>
                <w:sz w:val="20"/>
                <w:szCs w:val="20"/>
              </w:rPr>
              <w:t xml:space="preserve"> accessibility</w:t>
            </w:r>
          </w:p>
        </w:tc>
        <w:tc>
          <w:tcPr>
            <w:tcW w:w="10228" w:type="dxa"/>
            <w:tcMar/>
          </w:tcPr>
          <w:p w:rsidRPr="00122CCF" w:rsidR="00710AF5" w:rsidP="00256D54" w:rsidRDefault="00710AF5" w14:paraId="34888CC1" w14:textId="69D7485A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How is information about </w:t>
            </w:r>
            <w:r w:rsidR="00513A03">
              <w:rPr>
                <w:rFonts w:ascii="Univers" w:hAnsi="Univers"/>
                <w:sz w:val="20"/>
                <w:szCs w:val="20"/>
              </w:rPr>
              <w:t>protection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services communicated to the community? </w:t>
            </w:r>
            <w:r w:rsidR="00513A03">
              <w:rPr>
                <w:rFonts w:ascii="Univers" w:hAnsi="Univers"/>
                <w:sz w:val="20"/>
                <w:szCs w:val="20"/>
              </w:rPr>
              <w:t>Are different groups within the population able to access this information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? </w:t>
            </w:r>
          </w:p>
          <w:p w:rsidRPr="00122CCF" w:rsidR="00710AF5" w:rsidP="00256D54" w:rsidRDefault="00710AF5" w14:paraId="2E4AC988" w14:textId="617B6BF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there any groups of people who </w:t>
            </w:r>
            <w:r w:rsidR="004363B0">
              <w:rPr>
                <w:rFonts w:ascii="Univers" w:hAnsi="Univers"/>
                <w:sz w:val="20"/>
                <w:szCs w:val="20"/>
              </w:rPr>
              <w:t>are</w:t>
            </w:r>
            <w:r w:rsidRPr="00122CCF">
              <w:rPr>
                <w:rFonts w:ascii="Univers" w:hAnsi="Univers"/>
                <w:sz w:val="20"/>
                <w:szCs w:val="20"/>
              </w:rPr>
              <w:t xml:space="preserve"> unlikely to receive the information?  </w:t>
            </w:r>
          </w:p>
          <w:p w:rsidRPr="00122CCF" w:rsidR="00710AF5" w:rsidP="00256D54" w:rsidRDefault="00710AF5" w14:paraId="06222C2B" w14:textId="77777777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122CCF">
              <w:rPr>
                <w:rFonts w:ascii="Univers" w:hAnsi="Univers"/>
                <w:sz w:val="20"/>
                <w:szCs w:val="20"/>
              </w:rPr>
              <w:t xml:space="preserve">Are there alternatives to printed information in order to reach illiterate members of the community? </w:t>
            </w:r>
          </w:p>
          <w:p w:rsidRPr="00122CCF" w:rsidR="00710AF5" w:rsidP="00256D54" w:rsidRDefault="00710AF5" w14:noSpellErr="1" w14:paraId="6CCACC8E" w14:textId="26C2571E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46F95FB0" w:rsidR="00710AF5">
              <w:rPr>
                <w:rFonts w:ascii="Univers" w:hAnsi="Univers"/>
                <w:sz w:val="20"/>
                <w:szCs w:val="20"/>
              </w:rPr>
              <w:t xml:space="preserve">Is personal information </w:t>
            </w:r>
            <w:r w:rsidRPr="46F95FB0" w:rsidR="00A91D24">
              <w:rPr>
                <w:rFonts w:ascii="Univers" w:hAnsi="Univers"/>
                <w:sz w:val="20"/>
                <w:szCs w:val="20"/>
              </w:rPr>
              <w:t>stored/shared/</w:t>
            </w:r>
            <w:r w:rsidRPr="46F95FB0" w:rsidR="00710AF5">
              <w:rPr>
                <w:rFonts w:ascii="Univers" w:hAnsi="Univers"/>
                <w:sz w:val="20"/>
                <w:szCs w:val="20"/>
              </w:rPr>
              <w:t>treated confidentially?</w:t>
            </w:r>
            <w:r w:rsidRPr="46F95FB0" w:rsidR="00A91D24">
              <w:rPr>
                <w:rFonts w:ascii="Univers" w:hAnsi="Univers"/>
                <w:sz w:val="20"/>
                <w:szCs w:val="20"/>
              </w:rPr>
              <w:t xml:space="preserve"> Is there trust that protection service providers will treat sensitive information appropriately?</w:t>
            </w:r>
          </w:p>
          <w:p w:rsidRPr="00122CCF" w:rsidR="00710AF5" w:rsidP="46F95FB0" w:rsidRDefault="00710AF5" w14:paraId="68052537" w14:textId="19B372A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Univers" w:hAnsi="Univers" w:eastAsia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  <w:r w:rsidRPr="46F95FB0" w:rsidR="5E807DF5">
              <w:rPr>
                <w:rFonts w:ascii="Univers" w:hAnsi="Univers"/>
                <w:sz w:val="20"/>
                <w:szCs w:val="20"/>
              </w:rPr>
              <w:t xml:space="preserve">Are reasonable accommodations procedures/processes in place? (i.e. are staff trained in how to increase understanding of those who may have trouble understanding? </w:t>
            </w:r>
            <w:r w:rsidRPr="46F95FB0" w:rsidR="5E807DF5">
              <w:rPr>
                <w:rFonts w:ascii="Univers" w:hAnsi="Univers" w:eastAsia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  <w:t>Do information sharing processes allow for more time to explain or use different methods of explanation for those who might need it?)</w:t>
            </w:r>
          </w:p>
        </w:tc>
      </w:tr>
      <w:tr w:rsidR="00122CCF" w:rsidTr="46F95FB0" w14:paraId="7DD697CD" w14:textId="77777777">
        <w:tc>
          <w:tcPr>
            <w:tcW w:w="2817" w:type="dxa"/>
            <w:tcMar/>
          </w:tcPr>
          <w:p w:rsidRPr="00122CCF" w:rsidR="00122CCF" w:rsidP="00256D54" w:rsidRDefault="00122CCF" w14:paraId="54D6AFA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>Acceptability</w:t>
            </w:r>
          </w:p>
        </w:tc>
        <w:tc>
          <w:tcPr>
            <w:tcW w:w="10228" w:type="dxa"/>
            <w:tcMar/>
          </w:tcPr>
          <w:p w:rsidRPr="00A91D24" w:rsidR="00122CCF" w:rsidP="00256D54" w:rsidRDefault="00122CCF" w14:paraId="4B1E8E83" w14:textId="77FF792F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A91D24">
              <w:rPr>
                <w:rFonts w:ascii="Univers" w:hAnsi="Univers"/>
                <w:sz w:val="20"/>
                <w:szCs w:val="20"/>
              </w:rPr>
              <w:t xml:space="preserve">Are the opinions of </w:t>
            </w:r>
            <w:r w:rsidRPr="00A91D24" w:rsidR="00513A03">
              <w:rPr>
                <w:rFonts w:ascii="Univers" w:hAnsi="Univers"/>
                <w:sz w:val="20"/>
                <w:szCs w:val="20"/>
              </w:rPr>
              <w:t>diverse groups reflected in protection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 services? </w:t>
            </w:r>
          </w:p>
          <w:p w:rsidRPr="00A91D24" w:rsidR="00122CCF" w:rsidP="00256D54" w:rsidRDefault="00122CCF" w14:paraId="6E4E0B6F" w14:textId="5E2E996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A91D24">
              <w:rPr>
                <w:rFonts w:ascii="Univers" w:hAnsi="Univers"/>
                <w:sz w:val="20"/>
                <w:szCs w:val="20"/>
              </w:rPr>
              <w:t xml:space="preserve">Are </w:t>
            </w:r>
            <w:r w:rsidRPr="00A91D24" w:rsidR="00513A03">
              <w:rPr>
                <w:rFonts w:ascii="Univers" w:hAnsi="Univers"/>
                <w:sz w:val="20"/>
                <w:szCs w:val="20"/>
              </w:rPr>
              <w:t>protection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 services respectful of the culture of individuals, minorities, peoples and communities? </w:t>
            </w:r>
          </w:p>
          <w:p w:rsidRPr="00A91D24" w:rsidR="00122CCF" w:rsidP="00256D54" w:rsidRDefault="00513A03" w14:paraId="450F5B23" w14:textId="1CAE722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A91D24">
              <w:rPr>
                <w:rFonts w:ascii="Univers" w:hAnsi="Univers"/>
                <w:sz w:val="20"/>
                <w:szCs w:val="20"/>
              </w:rPr>
              <w:t xml:space="preserve">Are protection </w:t>
            </w:r>
            <w:r w:rsidRPr="00A91D24" w:rsidR="00122CCF">
              <w:rPr>
                <w:rFonts w:ascii="Univers" w:hAnsi="Univers"/>
                <w:sz w:val="20"/>
                <w:szCs w:val="20"/>
              </w:rPr>
              <w:t>service</w:t>
            </w:r>
            <w:r w:rsidRPr="00A91D24">
              <w:rPr>
                <w:rFonts w:ascii="Univers" w:hAnsi="Univers"/>
                <w:sz w:val="20"/>
                <w:szCs w:val="20"/>
              </w:rPr>
              <w:t>s</w:t>
            </w:r>
            <w:r w:rsidRPr="00A91D24" w:rsidR="00122CCF">
              <w:rPr>
                <w:rFonts w:ascii="Univers" w:hAnsi="Univers"/>
                <w:sz w:val="20"/>
                <w:szCs w:val="20"/>
              </w:rPr>
              <w:t xml:space="preserve"> gender-sensitive? </w:t>
            </w:r>
          </w:p>
          <w:p w:rsidRPr="00A91D24" w:rsidR="00122CCF" w:rsidP="00256D54" w:rsidRDefault="00122CCF" w14:paraId="79283244" w14:textId="2F8C7C6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A91D24">
              <w:rPr>
                <w:rFonts w:ascii="Univers" w:hAnsi="Univers"/>
                <w:sz w:val="20"/>
                <w:szCs w:val="20"/>
              </w:rPr>
              <w:t>Are there certain characteristics of the</w:t>
            </w:r>
            <w:r w:rsidRPr="00A91D24" w:rsidR="00513A03">
              <w:rPr>
                <w:rFonts w:ascii="Univers" w:hAnsi="Univers"/>
                <w:sz w:val="20"/>
                <w:szCs w:val="20"/>
              </w:rPr>
              <w:t xml:space="preserve"> protection programming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 (gender balance of</w:t>
            </w:r>
            <w:r w:rsidRPr="00A91D24" w:rsidR="004363B0">
              <w:rPr>
                <w:rFonts w:ascii="Univers" w:hAnsi="Univers"/>
                <w:sz w:val="20"/>
                <w:szCs w:val="20"/>
              </w:rPr>
              <w:t xml:space="preserve"> staff</w:t>
            </w:r>
            <w:r w:rsidRPr="00A91D24">
              <w:rPr>
                <w:rFonts w:ascii="Univers" w:hAnsi="Univers"/>
                <w:sz w:val="20"/>
                <w:szCs w:val="20"/>
              </w:rPr>
              <w:t>, attitude/behaviours of frontline workers</w:t>
            </w:r>
            <w:r w:rsidRPr="00A91D24" w:rsidR="004363B0">
              <w:rPr>
                <w:rFonts w:ascii="Univers" w:hAnsi="Univers"/>
                <w:sz w:val="20"/>
                <w:szCs w:val="20"/>
              </w:rPr>
              <w:t>,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 etc</w:t>
            </w:r>
            <w:r w:rsidRPr="00A91D24" w:rsidR="004363B0">
              <w:rPr>
                <w:rFonts w:ascii="Univers" w:hAnsi="Univers"/>
                <w:sz w:val="20"/>
                <w:szCs w:val="20"/>
              </w:rPr>
              <w:t>.</w:t>
            </w:r>
            <w:r w:rsidRPr="00A91D24">
              <w:rPr>
                <w:rFonts w:ascii="Univers" w:hAnsi="Univers"/>
                <w:sz w:val="20"/>
                <w:szCs w:val="20"/>
              </w:rPr>
              <w:t>) that make the community more/less comfortable accessing services?</w:t>
            </w:r>
          </w:p>
          <w:p w:rsidRPr="00A91D24" w:rsidR="00122CCF" w:rsidP="00256D54" w:rsidRDefault="00122CCF" w14:paraId="161D51C4" w14:textId="77777777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A91D24">
              <w:rPr>
                <w:rFonts w:ascii="Univers" w:hAnsi="Univers"/>
                <w:sz w:val="20"/>
                <w:szCs w:val="20"/>
              </w:rPr>
              <w:t>Are there adequate numbers of female staff and volunteers? If not, are there a plan to increase numbers of female staff/volunteers?</w:t>
            </w:r>
          </w:p>
        </w:tc>
      </w:tr>
      <w:tr w:rsidR="00122CCF" w:rsidTr="46F95FB0" w14:paraId="0B0291FA" w14:textId="77777777">
        <w:tc>
          <w:tcPr>
            <w:tcW w:w="2817" w:type="dxa"/>
            <w:tcMar/>
          </w:tcPr>
          <w:p w:rsidRPr="00122CCF" w:rsidR="00122CCF" w:rsidP="00256D54" w:rsidRDefault="00122CCF" w14:paraId="2C8A9E3E" w14:textId="77777777">
            <w:pPr>
              <w:jc w:val="left"/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122CCF">
              <w:rPr>
                <w:rFonts w:ascii="Univers" w:hAnsi="Univers"/>
                <w:b/>
                <w:bCs/>
                <w:sz w:val="20"/>
                <w:szCs w:val="20"/>
              </w:rPr>
              <w:t xml:space="preserve">Quality </w:t>
            </w:r>
          </w:p>
        </w:tc>
        <w:tc>
          <w:tcPr>
            <w:tcW w:w="10228" w:type="dxa"/>
            <w:tcMar/>
          </w:tcPr>
          <w:p w:rsidRPr="00A91D24" w:rsidR="00A91D24" w:rsidP="00A91D24" w:rsidRDefault="00A91D24" w14:paraId="180CBE38" w14:textId="77777777">
            <w:pPr>
              <w:pStyle w:val="ListParagraph"/>
              <w:numPr>
                <w:ilvl w:val="0"/>
                <w:numId w:val="6"/>
              </w:numPr>
              <w:ind w:left="393"/>
              <w:jc w:val="left"/>
              <w:rPr>
                <w:rFonts w:ascii="Univers" w:hAnsi="Univers"/>
                <w:sz w:val="20"/>
                <w:szCs w:val="20"/>
                <w:lang w:val="en-US"/>
              </w:rPr>
            </w:pPr>
            <w:proofErr w:type="gramStart"/>
            <w:r w:rsidRPr="00A91D24">
              <w:rPr>
                <w:rFonts w:ascii="Univers" w:hAnsi="Univers"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Pr="00A91D24">
              <w:rPr>
                <w:rFonts w:ascii="Univers" w:hAnsi="Univers"/>
                <w:color w:val="222222"/>
                <w:sz w:val="20"/>
                <w:szCs w:val="20"/>
                <w:shd w:val="clear" w:color="auto" w:fill="FFFFFF"/>
              </w:rPr>
              <w:t>re</w:t>
            </w:r>
            <w:proofErr w:type="gramEnd"/>
            <w:r w:rsidRPr="00A91D24">
              <w:rPr>
                <w:rFonts w:ascii="Univers" w:hAnsi="Univers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A91D24">
              <w:rPr>
                <w:rFonts w:ascii="Univers" w:hAnsi="Univers"/>
                <w:color w:val="222222"/>
                <w:sz w:val="20"/>
                <w:szCs w:val="20"/>
                <w:shd w:val="clear" w:color="auto" w:fill="FFFFFF"/>
              </w:rPr>
              <w:t xml:space="preserve">protection monitoring </w:t>
            </w:r>
            <w:r w:rsidRPr="00A91D24">
              <w:rPr>
                <w:rFonts w:ascii="Univers" w:hAnsi="Univers"/>
                <w:color w:val="222222"/>
                <w:sz w:val="20"/>
                <w:szCs w:val="20"/>
                <w:shd w:val="clear" w:color="auto" w:fill="FFFFFF"/>
              </w:rPr>
              <w:t>forms/procedures aligned with safe and ethical standards for GBV data management (</w:t>
            </w:r>
            <w:r w:rsidRPr="00A91D24">
              <w:rPr>
                <w:rFonts w:ascii="Univers" w:hAnsi="Univers"/>
                <w:color w:val="222222"/>
                <w:sz w:val="20"/>
                <w:szCs w:val="20"/>
                <w:shd w:val="clear" w:color="auto" w:fill="FFFFFF"/>
              </w:rPr>
              <w:t xml:space="preserve">for example, </w:t>
            </w:r>
            <w:r w:rsidRPr="00A91D24">
              <w:rPr>
                <w:rFonts w:ascii="Univers" w:hAnsi="Univers"/>
                <w:color w:val="222222"/>
                <w:sz w:val="20"/>
                <w:szCs w:val="20"/>
                <w:shd w:val="clear" w:color="auto" w:fill="FFFFFF"/>
              </w:rPr>
              <w:t xml:space="preserve">not asking direct questions about individual experiences of GBV, not actively seeking out survivors or attempting to count cases, etc.)? </w:t>
            </w:r>
          </w:p>
          <w:p w:rsidRPr="00A91D24" w:rsidR="00122CCF" w:rsidP="00122CCF" w:rsidRDefault="00122CCF" w14:paraId="5CE57348" w14:textId="1A5C11DC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A91D24">
              <w:rPr>
                <w:rFonts w:ascii="Univers" w:hAnsi="Univers"/>
                <w:sz w:val="20"/>
                <w:szCs w:val="20"/>
              </w:rPr>
              <w:t>Is there a Code of Conduct (</w:t>
            </w:r>
            <w:proofErr w:type="spellStart"/>
            <w:r w:rsidRPr="00A91D24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A91D24">
              <w:rPr>
                <w:rFonts w:ascii="Univers" w:hAnsi="Univers"/>
                <w:sz w:val="20"/>
                <w:szCs w:val="20"/>
              </w:rPr>
              <w:t xml:space="preserve">) for </w:t>
            </w:r>
            <w:r w:rsidRPr="00A91D24" w:rsidR="00513A03">
              <w:rPr>
                <w:rFonts w:ascii="Univers" w:hAnsi="Univers"/>
                <w:sz w:val="20"/>
                <w:szCs w:val="20"/>
              </w:rPr>
              <w:t>protection monitors/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 frontline workers which include</w:t>
            </w:r>
            <w:r w:rsidRPr="00A91D24" w:rsidR="004363B0">
              <w:rPr>
                <w:rFonts w:ascii="Univers" w:hAnsi="Univers"/>
                <w:sz w:val="20"/>
                <w:szCs w:val="20"/>
              </w:rPr>
              <w:t>s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 </w:t>
            </w:r>
            <w:proofErr w:type="spellStart"/>
            <w:r w:rsidRPr="00A91D24">
              <w:rPr>
                <w:rFonts w:ascii="Univers" w:hAnsi="Univers"/>
                <w:sz w:val="20"/>
                <w:szCs w:val="20"/>
              </w:rPr>
              <w:t>PSEA</w:t>
            </w:r>
            <w:proofErr w:type="spellEnd"/>
            <w:r w:rsidRPr="00A91D24">
              <w:rPr>
                <w:rFonts w:ascii="Univers" w:hAnsi="Univers"/>
                <w:sz w:val="20"/>
                <w:szCs w:val="20"/>
              </w:rPr>
              <w:t xml:space="preserve"> and child safeguarding? Are they trained </w:t>
            </w:r>
            <w:r w:rsidRPr="00A91D24" w:rsidR="004363B0">
              <w:rPr>
                <w:rFonts w:ascii="Univers" w:hAnsi="Univers"/>
                <w:sz w:val="20"/>
                <w:szCs w:val="20"/>
              </w:rPr>
              <w:t xml:space="preserve">on 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and </w:t>
            </w:r>
            <w:r w:rsidRPr="00A91D24" w:rsidR="004363B0">
              <w:rPr>
                <w:rFonts w:ascii="Univers" w:hAnsi="Univers"/>
                <w:sz w:val="20"/>
                <w:szCs w:val="20"/>
              </w:rPr>
              <w:t xml:space="preserve">have they 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signed the </w:t>
            </w:r>
            <w:proofErr w:type="spellStart"/>
            <w:r w:rsidRPr="00A91D24">
              <w:rPr>
                <w:rFonts w:ascii="Univers" w:hAnsi="Univers"/>
                <w:sz w:val="20"/>
                <w:szCs w:val="20"/>
              </w:rPr>
              <w:t>CoC</w:t>
            </w:r>
            <w:proofErr w:type="spellEnd"/>
            <w:r w:rsidRPr="00A91D24">
              <w:rPr>
                <w:rFonts w:ascii="Univers" w:hAnsi="Univers"/>
                <w:sz w:val="20"/>
                <w:szCs w:val="20"/>
              </w:rPr>
              <w:t>?</w:t>
            </w:r>
          </w:p>
          <w:p w:rsidRPr="00A91D24" w:rsidR="00A91D24" w:rsidP="00122CCF" w:rsidRDefault="00A91D24" w14:paraId="368A3225" w14:textId="77777777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A91D24">
              <w:rPr>
                <w:rFonts w:ascii="Univers" w:hAnsi="Univers"/>
                <w:sz w:val="20"/>
                <w:szCs w:val="20"/>
              </w:rPr>
              <w:t>Are there SOPs in place for what to do if GBV incidents are disclosed during protection monitoring?  Have all staff been trained on these SOPs?</w:t>
            </w:r>
          </w:p>
          <w:p w:rsidRPr="00A91D24" w:rsidR="00122CCF" w:rsidP="00122CCF" w:rsidRDefault="00122CCF" w14:paraId="69848B4A" w14:textId="282D6B1B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A91D24">
              <w:rPr>
                <w:rFonts w:ascii="Univers" w:hAnsi="Univers"/>
                <w:sz w:val="20"/>
                <w:szCs w:val="20"/>
              </w:rPr>
              <w:t xml:space="preserve">Do </w:t>
            </w:r>
            <w:r w:rsidRPr="00A91D24" w:rsidR="00513A03">
              <w:rPr>
                <w:rFonts w:ascii="Univers" w:hAnsi="Univers"/>
                <w:sz w:val="20"/>
                <w:szCs w:val="20"/>
              </w:rPr>
              <w:t>protection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 frontline workers</w:t>
            </w:r>
            <w:r w:rsidRPr="00A91D24" w:rsidR="00A91D24">
              <w:rPr>
                <w:rFonts w:ascii="Univers" w:hAnsi="Univers"/>
                <w:sz w:val="20"/>
                <w:szCs w:val="20"/>
              </w:rPr>
              <w:t xml:space="preserve"> 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know how to ethically and safely refer GBV survivors to services? </w:t>
            </w:r>
          </w:p>
          <w:p w:rsidRPr="00A91D24" w:rsidR="00122CCF" w:rsidP="00122CCF" w:rsidRDefault="004363B0" w14:paraId="1CE07292" w14:textId="32BB4ACF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A91D24">
              <w:rPr>
                <w:rFonts w:ascii="Univers" w:hAnsi="Univers"/>
                <w:sz w:val="20"/>
                <w:szCs w:val="20"/>
              </w:rPr>
              <w:t>Does</w:t>
            </w:r>
            <w:r w:rsidRPr="00A91D24" w:rsidR="00122CCF">
              <w:rPr>
                <w:rFonts w:ascii="Univers" w:hAnsi="Univers"/>
                <w:sz w:val="20"/>
                <w:szCs w:val="20"/>
              </w:rPr>
              <w:t xml:space="preserve"> the quality of </w:t>
            </w:r>
            <w:r w:rsidRPr="00A91D24" w:rsidR="00513A03">
              <w:rPr>
                <w:rFonts w:ascii="Univers" w:hAnsi="Univers"/>
                <w:sz w:val="20"/>
                <w:szCs w:val="20"/>
              </w:rPr>
              <w:t>protection</w:t>
            </w:r>
            <w:r w:rsidRPr="00A91D24" w:rsidR="00122CCF">
              <w:rPr>
                <w:rFonts w:ascii="Univers" w:hAnsi="Univers"/>
                <w:sz w:val="20"/>
                <w:szCs w:val="20"/>
              </w:rPr>
              <w:t xml:space="preserve"> services meet </w:t>
            </w:r>
            <w:r w:rsidRPr="00A91D24" w:rsidR="00513A03">
              <w:rPr>
                <w:rFonts w:ascii="Univers" w:hAnsi="Univers"/>
                <w:sz w:val="20"/>
                <w:szCs w:val="20"/>
              </w:rPr>
              <w:t>Sphere</w:t>
            </w:r>
            <w:r w:rsidRPr="00A91D24" w:rsidR="00122CCF">
              <w:rPr>
                <w:rFonts w:ascii="Univers" w:hAnsi="Univers"/>
                <w:sz w:val="20"/>
                <w:szCs w:val="20"/>
              </w:rPr>
              <w:t xml:space="preserve"> standards?</w:t>
            </w:r>
          </w:p>
          <w:p w:rsidRPr="00A91D24" w:rsidR="00122CCF" w:rsidP="00122CCF" w:rsidRDefault="00122CCF" w14:paraId="699818F6" w14:textId="002B693F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Univers" w:hAnsi="Univers"/>
                <w:sz w:val="20"/>
                <w:szCs w:val="20"/>
              </w:rPr>
            </w:pPr>
            <w:r w:rsidRPr="00A91D24">
              <w:rPr>
                <w:rFonts w:ascii="Univers" w:hAnsi="Univers"/>
                <w:sz w:val="20"/>
                <w:szCs w:val="20"/>
              </w:rPr>
              <w:t xml:space="preserve">Do all </w:t>
            </w:r>
            <w:r w:rsidRPr="00A91D24" w:rsidR="00513A03">
              <w:rPr>
                <w:rFonts w:ascii="Univers" w:hAnsi="Univers"/>
                <w:sz w:val="20"/>
                <w:szCs w:val="20"/>
              </w:rPr>
              <w:t>people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 regardless </w:t>
            </w:r>
            <w:r w:rsidRPr="00A91D24" w:rsidR="004363B0">
              <w:rPr>
                <w:rFonts w:ascii="Univers" w:hAnsi="Univers"/>
                <w:sz w:val="20"/>
                <w:szCs w:val="20"/>
              </w:rPr>
              <w:t xml:space="preserve">of 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sex, age, disability and their social status such as refugee, </w:t>
            </w:r>
            <w:proofErr w:type="spellStart"/>
            <w:r w:rsidRPr="00A91D24">
              <w:rPr>
                <w:rFonts w:ascii="Univers" w:hAnsi="Univers"/>
                <w:sz w:val="20"/>
                <w:szCs w:val="20"/>
              </w:rPr>
              <w:t>IDPs</w:t>
            </w:r>
            <w:proofErr w:type="spellEnd"/>
            <w:r w:rsidRPr="00A91D24" w:rsidR="004363B0">
              <w:rPr>
                <w:rFonts w:ascii="Univers" w:hAnsi="Univers"/>
                <w:sz w:val="20"/>
                <w:szCs w:val="20"/>
              </w:rPr>
              <w:t>,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 etc</w:t>
            </w:r>
            <w:r w:rsidRPr="00A91D24" w:rsidR="004363B0">
              <w:rPr>
                <w:rFonts w:ascii="Univers" w:hAnsi="Univers"/>
                <w:sz w:val="20"/>
                <w:szCs w:val="20"/>
              </w:rPr>
              <w:t>.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 feel respected in </w:t>
            </w:r>
            <w:r w:rsidRPr="00A91D24" w:rsidR="00513A03">
              <w:rPr>
                <w:rFonts w:ascii="Univers" w:hAnsi="Univers"/>
                <w:sz w:val="20"/>
                <w:szCs w:val="20"/>
              </w:rPr>
              <w:t>protection</w:t>
            </w:r>
            <w:r w:rsidRPr="00A91D24">
              <w:rPr>
                <w:rFonts w:ascii="Univers" w:hAnsi="Univers"/>
                <w:sz w:val="20"/>
                <w:szCs w:val="20"/>
              </w:rPr>
              <w:t xml:space="preserve"> services? </w:t>
            </w:r>
          </w:p>
        </w:tc>
      </w:tr>
    </w:tbl>
    <w:p w:rsidRPr="00710AF5" w:rsidR="00A971D5" w:rsidRDefault="007B5E70" w14:paraId="7ED24637" w14:textId="5790CEC9">
      <w:pPr>
        <w:rPr>
          <w:rFonts w:ascii="Univers" w:hAnsi="Univers"/>
          <w:sz w:val="20"/>
          <w:szCs w:val="20"/>
        </w:rPr>
      </w:pPr>
    </w:p>
    <w:sectPr w:rsidRPr="00710AF5" w:rsidR="00A971D5" w:rsidSect="00710AF5">
      <w:headerReference w:type="default" r:id="rId7"/>
      <w:pgSz w:w="15840" w:h="12240" w:orient="landscape"/>
      <w:pgMar w:top="1584" w:right="1440" w:bottom="1440" w:left="1440" w:header="720" w:footer="720" w:gutter="0"/>
      <w:cols w:space="720"/>
      <w:docGrid w:linePitch="360"/>
      <w:footerReference w:type="default" r:id="Rd6dda0d640904caf"/>
      <w:titlePg w:val="1"/>
      <w:headerReference w:type="first" r:id="Rce6405a806244120"/>
      <w:footerReference w:type="first" r:id="Re30b4745007c4d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5E70" w:rsidP="00710AF5" w:rsidRDefault="007B5E70" w14:paraId="0CEE70C0" w14:textId="77777777">
      <w:r>
        <w:separator/>
      </w:r>
    </w:p>
  </w:endnote>
  <w:endnote w:type="continuationSeparator" w:id="0">
    <w:p w:rsidR="007B5E70" w:rsidP="00710AF5" w:rsidRDefault="007B5E70" w14:paraId="6446E2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770A9AC" w:rsidTr="4770A9AC" w14:paraId="72A724DF">
      <w:trPr>
        <w:trHeight w:val="300"/>
      </w:trPr>
      <w:tc>
        <w:tcPr>
          <w:tcW w:w="4320" w:type="dxa"/>
          <w:tcMar/>
        </w:tcPr>
        <w:p w:rsidR="4770A9AC" w:rsidP="4770A9AC" w:rsidRDefault="4770A9AC" w14:paraId="50CD7806" w14:textId="285BA2B5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4770A9AC" w:rsidP="4770A9AC" w:rsidRDefault="4770A9AC" w14:paraId="39F40DAE" w14:textId="7796DD4D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4770A9AC" w:rsidP="4770A9AC" w:rsidRDefault="4770A9AC" w14:paraId="58308A37" w14:textId="1D2E1AB9">
          <w:pPr>
            <w:pStyle w:val="Header"/>
            <w:bidi w:val="0"/>
            <w:ind w:right="-115"/>
            <w:jc w:val="right"/>
          </w:pPr>
        </w:p>
      </w:tc>
    </w:tr>
  </w:tbl>
  <w:p w:rsidR="4770A9AC" w:rsidP="4770A9AC" w:rsidRDefault="4770A9AC" w14:paraId="6E0D96F2" w14:textId="6B93DD6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C8C6978" w:rsidTr="6C8C6978" w14:paraId="41518F37">
      <w:trPr>
        <w:trHeight w:val="300"/>
      </w:trPr>
      <w:tc>
        <w:tcPr>
          <w:tcW w:w="4320" w:type="dxa"/>
          <w:tcMar/>
        </w:tcPr>
        <w:p w:rsidR="6C8C6978" w:rsidP="6C8C6978" w:rsidRDefault="6C8C6978" w14:paraId="12120E9C" w14:textId="2D59EFFD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C8C6978" w:rsidP="6C8C6978" w:rsidRDefault="6C8C6978" w14:paraId="21E9192F" w14:textId="2148A31F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C8C6978" w:rsidP="6C8C6978" w:rsidRDefault="6C8C6978" w14:paraId="3A18714B" w14:textId="732C6572">
          <w:pPr>
            <w:pStyle w:val="Header"/>
            <w:bidi w:val="0"/>
            <w:ind w:right="-115"/>
            <w:jc w:val="right"/>
          </w:pPr>
        </w:p>
      </w:tc>
    </w:tr>
  </w:tbl>
  <w:p w:rsidR="6C8C6978" w:rsidP="6C8C6978" w:rsidRDefault="6C8C6978" w14:paraId="307903EC" w14:textId="103AD97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5E70" w:rsidP="00710AF5" w:rsidRDefault="007B5E70" w14:paraId="3F5B65C7" w14:textId="77777777">
      <w:r>
        <w:separator/>
      </w:r>
    </w:p>
  </w:footnote>
  <w:footnote w:type="continuationSeparator" w:id="0">
    <w:p w:rsidR="007B5E70" w:rsidP="00710AF5" w:rsidRDefault="007B5E70" w14:paraId="6464BC64" w14:textId="77777777">
      <w:r>
        <w:continuationSeparator/>
      </w:r>
    </w:p>
  </w:footnote>
  <w:footnote w:id="6709">
    <w:p w:rsidR="6C8C6978" w:rsidP="6C8C6978" w:rsidRDefault="6C8C6978" w14:paraId="1707A868" w14:textId="790A8F6E">
      <w:pPr>
        <w:pStyle w:val="FootnoteText"/>
        <w:bidi w:val="0"/>
        <w:jc w:val="left"/>
      </w:pPr>
      <w:r w:rsidRPr="6C8C6978">
        <w:rPr>
          <w:rStyle w:val="FootnoteReference"/>
        </w:rPr>
        <w:footnoteRef/>
      </w:r>
      <w:r w:rsidR="6C8C6978">
        <w:rPr/>
        <w:t xml:space="preserve"> </w:t>
      </w:r>
      <w:r w:rsidRPr="6C8C6978" w:rsidR="6C8C6978">
        <w:rPr>
          <w:rFonts w:ascii="Aptos" w:hAnsi="Aptos" w:eastAsia="Aptos" w:cs="Aptos"/>
          <w:noProof w:val="0"/>
          <w:sz w:val="20"/>
          <w:szCs w:val="20"/>
          <w:lang w:val="en-GB"/>
        </w:rPr>
        <w:t>NOTE – this course will require a separate registration on CARE’s online learning platform, Disco.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0AF5" w:rsidRDefault="00710AF5" w14:paraId="5DEA8ED2" w14:textId="77777777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12960"/>
    </w:tblGrid>
    <w:tr w:rsidR="6C8C6978" w:rsidTr="6C8C6978" w14:paraId="2B5AC2F2">
      <w:trPr>
        <w:trHeight w:val="300"/>
      </w:trPr>
      <w:tc>
        <w:tcPr>
          <w:tcW w:w="12960" w:type="dxa"/>
          <w:tcMar/>
        </w:tcPr>
        <w:p w:rsidR="6C8C6978" w:rsidP="6C8C6978" w:rsidRDefault="6C8C6978" w14:paraId="06842098" w14:textId="2B8E7E67">
          <w:pPr>
            <w:pStyle w:val="Header"/>
            <w:bidi w:val="0"/>
            <w:ind w:left="-115"/>
            <w:jc w:val="left"/>
          </w:pPr>
          <w:r w:rsidR="6C8C6978">
            <w:drawing>
              <wp:inline wp14:editId="69F1E279" wp14:anchorId="3EB82C69">
                <wp:extent cx="7571232" cy="988714"/>
                <wp:effectExtent l="0" t="0" r="0" b="0"/>
                <wp:docPr id="157754527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77545278" name="Picture 157754527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2845542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7571232" cy="988714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8C6978" w:rsidP="6C8C6978" w:rsidRDefault="6C8C6978" w14:paraId="63DC3C6A" w14:textId="1FF2BA3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8">
    <w:nsid w:val="6d38f7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138a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e82b2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525C01"/>
    <w:multiLevelType w:val="hybridMultilevel"/>
    <w:tmpl w:val="9632A28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54F73A5"/>
    <w:multiLevelType w:val="hybridMultilevel"/>
    <w:tmpl w:val="C88E93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46CA7FBF"/>
    <w:multiLevelType w:val="hybridMultilevel"/>
    <w:tmpl w:val="47F632C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CDC4F1B"/>
    <w:multiLevelType w:val="hybridMultilevel"/>
    <w:tmpl w:val="EF8439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7D53E62"/>
    <w:multiLevelType w:val="hybridMultilevel"/>
    <w:tmpl w:val="E87A362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3677CA3"/>
    <w:multiLevelType w:val="hybridMultilevel"/>
    <w:tmpl w:val="862601E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F5"/>
    <w:rsid w:val="00122CCF"/>
    <w:rsid w:val="001322D3"/>
    <w:rsid w:val="0014453F"/>
    <w:rsid w:val="002D3139"/>
    <w:rsid w:val="002D43AB"/>
    <w:rsid w:val="004363B0"/>
    <w:rsid w:val="00513A03"/>
    <w:rsid w:val="00710AF5"/>
    <w:rsid w:val="007B5E70"/>
    <w:rsid w:val="00A57130"/>
    <w:rsid w:val="00A91D24"/>
    <w:rsid w:val="00BE7C76"/>
    <w:rsid w:val="00EC5688"/>
    <w:rsid w:val="04046CD6"/>
    <w:rsid w:val="0C252E59"/>
    <w:rsid w:val="10E9AC85"/>
    <w:rsid w:val="15081958"/>
    <w:rsid w:val="199ACB58"/>
    <w:rsid w:val="22AE8CDB"/>
    <w:rsid w:val="2B1BBEDE"/>
    <w:rsid w:val="2CAE76DD"/>
    <w:rsid w:val="33977052"/>
    <w:rsid w:val="46F95FB0"/>
    <w:rsid w:val="4770A9AC"/>
    <w:rsid w:val="5B6EB777"/>
    <w:rsid w:val="5CCB10E5"/>
    <w:rsid w:val="5D70FAC5"/>
    <w:rsid w:val="5E807DF5"/>
    <w:rsid w:val="5F9C20A0"/>
    <w:rsid w:val="608CD61D"/>
    <w:rsid w:val="6C8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BAD957"/>
  <w15:chartTrackingRefBased/>
  <w15:docId w15:val="{17B0D283-952C-9C42-AD58-C085202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0AF5"/>
    <w:pPr>
      <w:jc w:val="center"/>
    </w:pPr>
    <w:rPr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F5"/>
    <w:rPr>
      <w:rFonts w:ascii="Calibri" w:hAnsi="Calibri" w:cs="Times New Roman"/>
      <w:sz w:val="22"/>
      <w:szCs w:val="22"/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10AF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0AF5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10AF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10A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0AF5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0AF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0AF5"/>
    <w:rPr>
      <w:sz w:val="22"/>
      <w:szCs w:val="22"/>
      <w:lang w:val="en-GB"/>
    </w:rPr>
  </w:style>
  <w:style w:type="character" w:styleId="Hyperlink">
    <w:uiPriority w:val="99"/>
    <w:name w:val="Hyperlink"/>
    <w:basedOn w:val="DefaultParagraphFont"/>
    <w:unhideWhenUsed/>
    <w:rsid w:val="6C8C69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9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Relationship Type="http://schemas.openxmlformats.org/officeDocument/2006/relationships/footer" Target="footer.xml" Id="Rd6dda0d640904caf" /><Relationship Type="http://schemas.microsoft.com/office/2011/relationships/people" Target="people.xml" Id="R80f0b47c6d004d48" /><Relationship Type="http://schemas.microsoft.com/office/2011/relationships/commentsExtended" Target="commentsExtended.xml" Id="Rb00589da791c4c85" /><Relationship Type="http://schemas.microsoft.com/office/2016/09/relationships/commentsIds" Target="commentsIds.xml" Id="Ra2bd87cc44f24b3b" /><Relationship Type="http://schemas.openxmlformats.org/officeDocument/2006/relationships/hyperlink" Target="https://gbvguidelines.org/sp-toolkit/start/" TargetMode="External" Id="Ree6e5de5e7fc4878" /><Relationship Type="http://schemas.openxmlformats.org/officeDocument/2006/relationships/hyperlink" Target="https://gbvguidelines.org/wp/wp-content/uploads/2019/11/AAAQ-framework-Nov-2019-WEB.pdf" TargetMode="External" Id="R286b9248e3bc4f37" /><Relationship Type="http://schemas.openxmlformats.org/officeDocument/2006/relationships/hyperlink" Target="https://gbvguidelines.org/wp/wp-content/uploads/2025/12/Tipsheet-for-non-GBV-specialists-on-asking-safety-related-questions.docx" TargetMode="External" Id="Re1324a7772d44854" /><Relationship Type="http://schemas.openxmlformats.org/officeDocument/2006/relationships/hyperlink" Target="https://care.disco.co/p/for-do-no-harm-in-practice-toolkit-responding-to-gender-based-violence-disc&#8230;" TargetMode="External" Id="Ra2631e3ee4844317" /><Relationship Type="http://schemas.openxmlformats.org/officeDocument/2006/relationships/header" Target="header2.xml" Id="Rce6405a806244120" /><Relationship Type="http://schemas.openxmlformats.org/officeDocument/2006/relationships/footer" Target="footer2.xml" Id="Re30b4745007c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62845542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43A5594C4AFB4A8105D42986A7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79065-0263-A540-AFFC-3766CF152EE6}"/>
      </w:docPartPr>
      <w:docPartBody>
        <w:p w:rsidR="00E80745" w:rsidP="00A57130" w:rsidRDefault="00A57130">
          <w:pPr>
            <w:pStyle w:val="AB43A5594C4AFB4A8105D42986A7B785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30"/>
    <w:rsid w:val="001C6FF9"/>
    <w:rsid w:val="005C24F8"/>
    <w:rsid w:val="00787246"/>
    <w:rsid w:val="00A57130"/>
    <w:rsid w:val="00B10683"/>
    <w:rsid w:val="00E8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43A5594C4AFB4A8105D42986A7B785">
    <w:name w:val="AB43A5594C4AFB4A8105D42986A7B785"/>
    <w:rsid w:val="00A57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INTER-AGENCY GBV RISK MITIGATION ONLINE COURSE</dc:title>
  <dc:subject/>
  <dc:creator>Erin Patrick</dc:creator>
  <keywords/>
  <dc:description/>
  <lastModifiedBy>Dina Hanania</lastModifiedBy>
  <revision>8</revision>
  <dcterms:created xsi:type="dcterms:W3CDTF">2021-04-08T20:33:00.0000000Z</dcterms:created>
  <dcterms:modified xsi:type="dcterms:W3CDTF">2026-02-27T21:53:13.9949713Z</dcterms:modified>
</coreProperties>
</file>