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6401" w:rsidR="00951510" w:rsidP="567A89A2" w:rsidRDefault="00951510" w14:paraId="0DD75DC7" w14:textId="510B8D03">
      <w:pPr>
        <w:pStyle w:val="Normal"/>
        <w:spacing w:after="0" w:line="264" w:lineRule="auto"/>
        <w:rPr>
          <w:b w:val="1"/>
          <w:bCs w:val="1"/>
          <w:sz w:val="28"/>
          <w:szCs w:val="28"/>
        </w:rPr>
      </w:pPr>
      <w:r w:rsidRPr="567A89A2" w:rsidR="00951510">
        <w:rPr>
          <w:b w:val="1"/>
          <w:bCs w:val="1"/>
          <w:sz w:val="28"/>
          <w:szCs w:val="28"/>
        </w:rPr>
        <w:t>ESSENTIAL VAWG RISK MITIGATION ACTIONS</w:t>
      </w:r>
      <w:r w:rsidRPr="567A89A2" w:rsidR="0832716B">
        <w:rPr>
          <w:b w:val="1"/>
          <w:bCs w:val="1"/>
          <w:sz w:val="28"/>
          <w:szCs w:val="28"/>
        </w:rPr>
        <w:t xml:space="preserve"> - </w:t>
      </w:r>
      <w:r w:rsidRPr="567A89A2" w:rsidR="0832716B">
        <w:rPr>
          <w:b w:val="1"/>
          <w:bCs w:val="1"/>
          <w:sz w:val="28"/>
          <w:szCs w:val="28"/>
          <w:u w:val="single"/>
        </w:rPr>
        <w:t>CHILD PROTECTION</w:t>
      </w:r>
      <w:r w:rsidRPr="567A89A2" w:rsidR="0832716B">
        <w:rPr>
          <w:b w:val="1"/>
          <w:bCs w:val="1"/>
          <w:sz w:val="28"/>
          <w:szCs w:val="28"/>
        </w:rPr>
        <w:t xml:space="preserve"> –</w:t>
      </w:r>
    </w:p>
    <w:p w:rsidRPr="00A56401" w:rsidR="00951510" w:rsidP="31E16F63" w:rsidRDefault="00951510" w14:paraId="1A35427C" w14:noSpellErr="1" w14:textId="4D499230">
      <w:pPr>
        <w:spacing w:after="0" w:line="264" w:lineRule="auto"/>
        <w:rPr>
          <w:i w:val="1"/>
          <w:iCs w:val="1"/>
        </w:rPr>
      </w:pPr>
      <w:r w:rsidRPr="31E16F63" w:rsidR="053452BF">
        <w:rPr>
          <w:i w:val="1"/>
          <w:iCs w:val="1"/>
        </w:rPr>
        <w:t>Source: IASC GBV Guidelines</w:t>
      </w:r>
      <w:r w:rsidRPr="31E16F63" w:rsidR="120EFFF0">
        <w:rPr>
          <w:i w:val="1"/>
          <w:iCs w:val="1"/>
        </w:rPr>
        <w:t>, UNICEF</w:t>
      </w:r>
    </w:p>
    <w:p w:rsidRPr="00A56401" w:rsidR="00951510" w:rsidP="00951510" w:rsidRDefault="00951510" w14:paraId="08444274" w14:textId="77777777">
      <w:pPr>
        <w:spacing w:after="0" w:line="264" w:lineRule="auto"/>
      </w:pPr>
    </w:p>
    <w:p w:rsidRPr="00951510" w:rsidR="00951510" w:rsidP="00951510" w:rsidRDefault="00951510" w14:paraId="3DB6007B" w14:textId="77777777">
      <w:pPr>
        <w:spacing w:after="0" w:line="264" w:lineRule="auto"/>
        <w:rPr>
          <w:i/>
          <w:iCs/>
        </w:rPr>
      </w:pPr>
      <w:proofErr w:type="gramStart"/>
      <w:r w:rsidRPr="00951510">
        <w:rPr>
          <w:b/>
          <w:bCs/>
          <w:i/>
          <w:iCs/>
        </w:rPr>
        <w:t>Note :</w:t>
      </w:r>
      <w:proofErr w:type="gramEnd"/>
      <w:r w:rsidRPr="00951510">
        <w:rPr>
          <w:i/>
          <w:iCs/>
        </w:rPr>
        <w:t xml:space="preserve"> successful program implementation strategies will necessarily be dependent on the specific context in which you’re working. The precise intervention that may be successful in mitigating labor-related child protection risks in an urban context may not have the same impact in improving access to services by unaccompanied girls in a refugee camp, for example. For that reason, the examples provided in this toolkit are not prescriptive: we cannot tell you exactly what will work in your specific context.  </w:t>
      </w:r>
    </w:p>
    <w:p w:rsidRPr="00951510" w:rsidR="00951510" w:rsidP="00951510" w:rsidRDefault="00951510" w14:paraId="0A3D4C33" w14:textId="77777777">
      <w:pPr>
        <w:spacing w:after="0" w:line="264" w:lineRule="auto"/>
        <w:rPr>
          <w:i/>
          <w:iCs/>
        </w:rPr>
      </w:pPr>
    </w:p>
    <w:p w:rsidRPr="00951510" w:rsidR="00951510" w:rsidP="00951510" w:rsidRDefault="00951510" w14:paraId="6CA0E803" w14:textId="77777777">
      <w:pPr>
        <w:spacing w:after="0" w:line="264" w:lineRule="auto"/>
        <w:rPr>
          <w:i/>
          <w:iCs/>
        </w:rPr>
      </w:pPr>
      <w:r w:rsidRPr="00951510">
        <w:rPr>
          <w:i/>
          <w:iCs/>
        </w:rPr>
        <w:t xml:space="preserve">However, there are some general activities that are consistently good practice for improving safety and access, and/or which can serve as a proven basis from which contextual adaptations can and should be made. In the IASC GBV Guidelines, these are called “Essential Actions,” and they are outlined below. </w:t>
      </w:r>
    </w:p>
    <w:p w:rsidRPr="00951510" w:rsidR="00951510" w:rsidP="00951510" w:rsidRDefault="00951510" w14:paraId="73F1B0B9" w14:textId="77777777">
      <w:pPr>
        <w:spacing w:after="0" w:line="264" w:lineRule="auto"/>
        <w:rPr>
          <w:i/>
          <w:iCs/>
        </w:rPr>
      </w:pPr>
    </w:p>
    <w:p w:rsidRPr="00B35BA6" w:rsidR="00951510" w:rsidP="00951510" w:rsidRDefault="00951510" w14:paraId="1A15B028" w14:textId="77777777">
      <w:pPr>
        <w:spacing w:after="0" w:line="264" w:lineRule="auto"/>
        <w:rPr>
          <w:b/>
          <w:bCs/>
        </w:rPr>
      </w:pPr>
      <w:r w:rsidRPr="00B35BA6">
        <w:rPr>
          <w:b/>
          <w:bCs/>
        </w:rPr>
        <w:t>PROGRAMMING</w:t>
      </w:r>
    </w:p>
    <w:p w:rsidR="00951510" w:rsidP="00951510" w:rsidRDefault="00951510" w14:paraId="4D13A740" w14:textId="77777777">
      <w:pPr>
        <w:spacing w:after="0" w:line="264" w:lineRule="auto"/>
      </w:pPr>
    </w:p>
    <w:p w:rsidR="00951510" w:rsidP="00951510" w:rsidRDefault="00951510" w14:paraId="06042F59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Support the </w:t>
      </w:r>
      <w:r w:rsidRPr="001C6B13">
        <w:rPr>
          <w:b/>
          <w:bCs/>
        </w:rPr>
        <w:t>capacity of community-based child protection networks and programs to mitigate risks of GBV</w:t>
      </w:r>
      <w:r>
        <w:t xml:space="preserve">. For example: </w:t>
      </w:r>
    </w:p>
    <w:p w:rsidR="00951510" w:rsidP="00951510" w:rsidRDefault="00951510" w14:paraId="69992ECA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 Strengthen existing community protection </w:t>
      </w:r>
      <w:proofErr w:type="gramStart"/>
      <w:r>
        <w:t>mechanisms;</w:t>
      </w:r>
      <w:proofErr w:type="gramEnd"/>
      <w:r>
        <w:t xml:space="preserve"> </w:t>
      </w:r>
    </w:p>
    <w:p w:rsidR="00951510" w:rsidP="00951510" w:rsidRDefault="00951510" w14:paraId="34A4E3D5" w14:noSpellErr="1" w14:textId="72FD7045">
      <w:pPr>
        <w:pStyle w:val="ListParagraph"/>
        <w:numPr>
          <w:ilvl w:val="1"/>
          <w:numId w:val="1"/>
        </w:numPr>
        <w:spacing w:after="0" w:line="264" w:lineRule="auto"/>
        <w:rPr/>
      </w:pPr>
      <w:r w:rsidR="053452BF">
        <w:rPr/>
        <w:t xml:space="preserve">Support creation of </w:t>
      </w:r>
      <w:r w:rsidR="3C3D4541">
        <w:rPr/>
        <w:t xml:space="preserve">age-appropriate, </w:t>
      </w:r>
      <w:r w:rsidR="053452BF">
        <w:rPr/>
        <w:t xml:space="preserve">girl- and boy-friendly </w:t>
      </w:r>
      <w:r w:rsidR="053452BF">
        <w:rPr/>
        <w:t>spaces;</w:t>
      </w:r>
      <w:r w:rsidR="053452BF">
        <w:rPr/>
        <w:t xml:space="preserve"> </w:t>
      </w:r>
    </w:p>
    <w:p w:rsidRPr="00B35BA6" w:rsidR="00951510" w:rsidP="567A89A2" w:rsidRDefault="00951510" w14:paraId="34C54429" w14:textId="77777777">
      <w:pPr>
        <w:pStyle w:val="ListParagraph"/>
        <w:numPr>
          <w:ilvl w:val="1"/>
          <w:numId w:val="1"/>
        </w:numPr>
        <w:spacing w:after="0" w:line="264" w:lineRule="auto"/>
        <w:rPr>
          <w:i w:val="1"/>
          <w:iCs w:val="1"/>
        </w:rPr>
      </w:pPr>
      <w:r w:rsidRPr="567A89A2" w:rsidR="00951510">
        <w:rPr>
          <w:i w:val="1"/>
          <w:iCs w:val="1"/>
        </w:rPr>
        <w:t>Other according to context</w:t>
      </w:r>
    </w:p>
    <w:p w:rsidR="567A89A2" w:rsidP="567A89A2" w:rsidRDefault="567A89A2" w14:paraId="2681F104" w14:textId="2EC25480">
      <w:pPr>
        <w:pStyle w:val="Normal"/>
        <w:spacing w:after="0" w:line="264" w:lineRule="auto"/>
        <w:rPr>
          <w:i w:val="1"/>
          <w:iCs w:val="1"/>
        </w:rPr>
      </w:pPr>
    </w:p>
    <w:p w:rsidR="00951510" w:rsidP="00951510" w:rsidRDefault="00951510" w14:paraId="0C6E8EA7" w14:textId="0CB998E5">
      <w:pPr>
        <w:pStyle w:val="ListParagraph"/>
        <w:numPr>
          <w:ilvl w:val="0"/>
          <w:numId w:val="1"/>
        </w:numPr>
        <w:spacing w:after="0" w:line="264" w:lineRule="auto"/>
        <w:rPr/>
      </w:pPr>
      <w:r w:rsidR="128061E7">
        <w:rPr/>
        <w:t xml:space="preserve">Ensure supply and distribution of </w:t>
      </w:r>
      <w:r w:rsidR="128061E7">
        <w:rPr/>
        <w:t>culturally-appropriate</w:t>
      </w:r>
      <w:r w:rsidR="128061E7">
        <w:rPr/>
        <w:t xml:space="preserve"> MHM materials to </w:t>
      </w:r>
      <w:r w:rsidR="128061E7">
        <w:rPr/>
        <w:t>girls</w:t>
      </w:r>
      <w:r w:rsidR="3224F9AC">
        <w:rPr/>
        <w:t xml:space="preserve"> of reproductive age (</w:t>
      </w:r>
      <w:r w:rsidR="3224F9AC">
        <w:rPr/>
        <w:t>typically</w:t>
      </w:r>
      <w:r w:rsidR="3224F9AC">
        <w:rPr/>
        <w:t xml:space="preserve"> beginning around 10/11 but can be as early as 8)</w:t>
      </w:r>
    </w:p>
    <w:p w:rsidR="567A89A2" w:rsidP="567A89A2" w:rsidRDefault="567A89A2" w14:paraId="5E092DED" w14:textId="129EDF5C">
      <w:pPr>
        <w:pStyle w:val="Normal"/>
        <w:spacing w:after="0" w:line="264" w:lineRule="auto"/>
      </w:pPr>
    </w:p>
    <w:p w:rsidR="00951510" w:rsidP="00951510" w:rsidRDefault="00951510" w14:paraId="6AB68D91" w14:textId="6EAF6DCF">
      <w:pPr>
        <w:pStyle w:val="ListParagraph"/>
        <w:numPr>
          <w:ilvl w:val="0"/>
          <w:numId w:val="1"/>
        </w:numPr>
        <w:spacing w:after="0" w:line="264" w:lineRule="auto"/>
        <w:rPr/>
      </w:pPr>
      <w:r w:rsidR="1F698F4F">
        <w:rPr/>
        <w:t>Integrate sexual and reproductive health services for girls into Child Protection activities</w:t>
      </w:r>
    </w:p>
    <w:p w:rsidR="567A89A2" w:rsidP="567A89A2" w:rsidRDefault="567A89A2" w14:paraId="0EB55856" w14:textId="5D10DDF3">
      <w:pPr>
        <w:pStyle w:val="Normal"/>
        <w:spacing w:after="0" w:line="264" w:lineRule="auto"/>
      </w:pPr>
    </w:p>
    <w:p w:rsidR="00951510" w:rsidP="00951510" w:rsidRDefault="00951510" w14:paraId="0ED4B44F" w14:textId="7DD09D88">
      <w:pPr>
        <w:pStyle w:val="ListParagraph"/>
        <w:numPr>
          <w:ilvl w:val="0"/>
          <w:numId w:val="1"/>
        </w:numPr>
        <w:spacing w:after="0" w:line="264" w:lineRule="auto"/>
        <w:rPr/>
      </w:pPr>
      <w:r w:rsidRPr="567A89A2" w:rsidR="40895EB2">
        <w:rPr>
          <w:i w:val="1"/>
          <w:iCs w:val="1"/>
        </w:rPr>
        <w:t>In programming environments with the appropriate training and supervision</w:t>
      </w:r>
      <w:r w:rsidRPr="567A89A2" w:rsidR="30CD058A">
        <w:rPr>
          <w:i w:val="1"/>
          <w:iCs w:val="1"/>
        </w:rPr>
        <w:t xml:space="preserve"> of CP actors on GBV</w:t>
      </w:r>
      <w:r w:rsidR="40895EB2">
        <w:rPr/>
        <w:t>: s</w:t>
      </w:r>
      <w:r w:rsidR="6F6F126F">
        <w:rPr/>
        <w:t xml:space="preserve">upport the provision of age-, gender-, and culturally sensitive </w:t>
      </w:r>
      <w:r w:rsidRPr="567A89A2" w:rsidR="6F6F126F">
        <w:rPr>
          <w:b w:val="1"/>
          <w:bCs w:val="1"/>
        </w:rPr>
        <w:t xml:space="preserve">multi-sectoral care and support for </w:t>
      </w:r>
      <w:r w:rsidRPr="567A89A2" w:rsidR="6F6F126F">
        <w:rPr>
          <w:b w:val="1"/>
          <w:bCs w:val="1"/>
        </w:rPr>
        <w:t>child survivors of GBV</w:t>
      </w:r>
      <w:r w:rsidR="6F6F126F">
        <w:rPr/>
        <w:t xml:space="preserve"> </w:t>
      </w:r>
      <w:r w:rsidR="6F6F126F">
        <w:rPr/>
        <w:t xml:space="preserve">(including health services; </w:t>
      </w:r>
      <w:r w:rsidR="359A1710">
        <w:rPr/>
        <w:t xml:space="preserve">sexual and reproductive health services; </w:t>
      </w:r>
      <w:r w:rsidR="6F6F126F">
        <w:rPr/>
        <w:t>mental health and psychosocial support; security/police response; legal/justice services; etc.)</w:t>
      </w:r>
    </w:p>
    <w:p w:rsidR="567A89A2" w:rsidP="567A89A2" w:rsidRDefault="567A89A2" w14:paraId="5C8ACECD" w14:textId="4DF39A97">
      <w:pPr>
        <w:pStyle w:val="Normal"/>
        <w:spacing w:after="0" w:line="264" w:lineRule="auto"/>
      </w:pPr>
    </w:p>
    <w:p w:rsidR="51B6E88A" w:rsidP="567A89A2" w:rsidRDefault="51B6E88A" w14:paraId="7347167A" w14:textId="4F80443B">
      <w:pPr>
        <w:pStyle w:val="ListParagraph"/>
        <w:numPr>
          <w:ilvl w:val="0"/>
          <w:numId w:val="1"/>
        </w:numPr>
        <w:spacing w:after="0" w:line="264" w:lineRule="auto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567A89A2" w:rsidR="51B6E88A">
        <w:rPr>
          <w:i w:val="1"/>
          <w:iCs w:val="1"/>
        </w:rPr>
        <w:t xml:space="preserve">In programming environments where </w:t>
      </w:r>
      <w:r w:rsidRPr="567A89A2" w:rsidR="51B6E88A">
        <w:rPr>
          <w:i w:val="1"/>
          <w:iCs w:val="1"/>
        </w:rPr>
        <w:t>appropriate training</w:t>
      </w:r>
      <w:r w:rsidRPr="567A89A2" w:rsidR="51B6E88A">
        <w:rPr>
          <w:i w:val="1"/>
          <w:iCs w:val="1"/>
        </w:rPr>
        <w:t xml:space="preserve"> and supervision </w:t>
      </w:r>
      <w:r w:rsidRPr="567A89A2" w:rsidR="16FBB537">
        <w:rPr>
          <w:i w:val="1"/>
          <w:iCs w:val="1"/>
        </w:rPr>
        <w:t xml:space="preserve">of CP actors on GBV </w:t>
      </w:r>
      <w:r w:rsidRPr="567A89A2" w:rsidR="51B6E88A">
        <w:rPr>
          <w:i w:val="1"/>
          <w:iCs w:val="1"/>
        </w:rPr>
        <w:t xml:space="preserve">do not yet </w:t>
      </w:r>
      <w:r w:rsidRPr="567A89A2" w:rsidR="51B6E88A">
        <w:rPr>
          <w:i w:val="1"/>
          <w:iCs w:val="1"/>
        </w:rPr>
        <w:t>exis</w:t>
      </w:r>
      <w:r w:rsidRPr="567A89A2" w:rsidR="47C7F7C9">
        <w:rPr>
          <w:i w:val="1"/>
          <w:iCs w:val="1"/>
        </w:rPr>
        <w:t>t</w:t>
      </w:r>
      <w:r w:rsidRPr="567A89A2" w:rsidR="47C7F7C9">
        <w:rPr>
          <w:i w:val="0"/>
          <w:iCs w:val="0"/>
        </w:rPr>
        <w:t>:</w:t>
      </w:r>
      <w:r w:rsidR="51B6E88A">
        <w:rPr/>
        <w:t xml:space="preserve"> </w:t>
      </w:r>
      <w:r w:rsidRPr="567A89A2" w:rsidR="1893A9E4">
        <w:rPr>
          <w:b w:val="1"/>
          <w:bCs w:val="1"/>
        </w:rPr>
        <w:t>develop</w:t>
      </w:r>
      <w:r w:rsidRPr="567A89A2" w:rsidR="51B6E88A">
        <w:rPr>
          <w:b w:val="1"/>
          <w:bCs w:val="1"/>
        </w:rPr>
        <w:t xml:space="preserve"> SOPs with GBV </w:t>
      </w:r>
      <w:r w:rsidRPr="567A89A2" w:rsidR="72869297">
        <w:rPr>
          <w:b w:val="1"/>
          <w:bCs w:val="1"/>
        </w:rPr>
        <w:t>service providers</w:t>
      </w:r>
      <w:r w:rsidR="51B6E88A">
        <w:rPr/>
        <w:t xml:space="preserve"> </w:t>
      </w:r>
      <w:r w:rsidRPr="567A89A2" w:rsidR="51B6E88A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to ensure smooth and </w:t>
      </w:r>
      <w:r w:rsidRPr="567A89A2" w:rsidR="51B6E88A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appropriate referral</w:t>
      </w:r>
      <w:r w:rsidRPr="567A89A2" w:rsidR="51B6E88A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necessary services</w:t>
      </w:r>
    </w:p>
    <w:p w:rsidR="567A89A2" w:rsidP="567A89A2" w:rsidRDefault="567A89A2" w14:paraId="4D9A163A" w14:textId="4E047BB5">
      <w:pPr>
        <w:pStyle w:val="Normal"/>
        <w:spacing w:after="0" w:line="264" w:lineRule="auto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9FDC1E8" w:rsidP="567A89A2" w:rsidRDefault="09FDC1E8" w14:paraId="6CF58331" w14:textId="6E83DA96">
      <w:pPr>
        <w:pStyle w:val="ListParagraph"/>
        <w:numPr>
          <w:ilvl w:val="0"/>
          <w:numId w:val="1"/>
        </w:numPr>
        <w:spacing w:after="0" w:line="264" w:lineRule="auto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567A89A2" w:rsidR="09FDC1E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Develop SOPs with GBV service providers</w:t>
      </w:r>
      <w:r w:rsidRPr="567A89A2" w:rsidR="34D5EFE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standardize processes for ensuring that </w:t>
      </w:r>
      <w:r w:rsidRPr="567A89A2" w:rsidR="34D5EFED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adolescent girls receive </w:t>
      </w:r>
      <w:r w:rsidRPr="567A89A2" w:rsidR="34D5EFED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appropriate services</w:t>
      </w:r>
      <w:r w:rsidRPr="567A89A2" w:rsidR="34D5EFED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through either/both CP and GBV</w:t>
      </w:r>
      <w:r w:rsidRPr="567A89A2" w:rsidR="34D5EFE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567A89A2" w:rsidP="567A89A2" w:rsidRDefault="567A89A2" w14:paraId="227CB6FD" w14:textId="3317ACB8">
      <w:pPr>
        <w:pStyle w:val="Normal"/>
        <w:spacing w:after="0" w:line="264" w:lineRule="auto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0951510" w:rsidP="00951510" w:rsidRDefault="00951510" w14:paraId="11160542" w14:textId="77777777">
      <w:pPr>
        <w:pStyle w:val="ListParagraph"/>
        <w:numPr>
          <w:ilvl w:val="0"/>
          <w:numId w:val="1"/>
        </w:numPr>
        <w:spacing w:after="0" w:line="264" w:lineRule="auto"/>
        <w:rPr/>
      </w:pPr>
      <w:r w:rsidR="00951510">
        <w:rPr/>
        <w:t>Where there are gaps in services for children and adolescents, support the training of medical, mental health and psychosocial, police, and legal/justice actors in how to engage with child survivors in age-, gender-, and culturally sensitive ways</w:t>
      </w:r>
    </w:p>
    <w:p w:rsidR="567A89A2" w:rsidP="567A89A2" w:rsidRDefault="567A89A2" w14:paraId="500FC245" w14:textId="6BB9DABA">
      <w:pPr>
        <w:pStyle w:val="Normal"/>
        <w:spacing w:after="0" w:line="264" w:lineRule="auto"/>
      </w:pPr>
    </w:p>
    <w:p w:rsidR="00951510" w:rsidP="00951510" w:rsidRDefault="00951510" w14:paraId="14D45E31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Monitor and address the </w:t>
      </w:r>
      <w:r w:rsidRPr="001C6B13">
        <w:rPr>
          <w:b/>
          <w:bCs/>
        </w:rPr>
        <w:t>risks of GBV for separated and unaccompanied girls and boys</w:t>
      </w:r>
      <w:r>
        <w:t xml:space="preserve">. For example: </w:t>
      </w:r>
    </w:p>
    <w:p w:rsidR="00951510" w:rsidP="00951510" w:rsidRDefault="00951510" w14:paraId="322E2D88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Establish separate reception areas for unaccompanied girls and </w:t>
      </w:r>
      <w:proofErr w:type="gramStart"/>
      <w:r>
        <w:t>boys;</w:t>
      </w:r>
      <w:proofErr w:type="gramEnd"/>
      <w:r>
        <w:t xml:space="preserve"> </w:t>
      </w:r>
    </w:p>
    <w:p w:rsidR="00951510" w:rsidP="00951510" w:rsidRDefault="00951510" w14:paraId="309588EF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Ensure family reunification and foster care programs monitor and mitigate potential risk of </w:t>
      </w:r>
      <w:proofErr w:type="gramStart"/>
      <w:r>
        <w:t>GBV;</w:t>
      </w:r>
      <w:proofErr w:type="gramEnd"/>
      <w:r>
        <w:t xml:space="preserve"> </w:t>
      </w:r>
    </w:p>
    <w:p w:rsidRPr="00B35BA6" w:rsidR="00951510" w:rsidP="567A89A2" w:rsidRDefault="00951510" w14:paraId="73B2FA15" w14:textId="77777777">
      <w:pPr>
        <w:pStyle w:val="ListParagraph"/>
        <w:numPr>
          <w:ilvl w:val="1"/>
          <w:numId w:val="1"/>
        </w:numPr>
        <w:spacing w:after="0" w:line="264" w:lineRule="auto"/>
        <w:rPr>
          <w:i w:val="1"/>
          <w:iCs w:val="1"/>
        </w:rPr>
      </w:pPr>
      <w:r w:rsidRPr="567A89A2" w:rsidR="00951510">
        <w:rPr>
          <w:i w:val="1"/>
          <w:iCs w:val="1"/>
        </w:rPr>
        <w:t>Other according to context</w:t>
      </w:r>
    </w:p>
    <w:p w:rsidR="567A89A2" w:rsidP="567A89A2" w:rsidRDefault="567A89A2" w14:paraId="6271C5B3" w14:textId="4DFF5DB2">
      <w:pPr>
        <w:pStyle w:val="Normal"/>
        <w:spacing w:after="0" w:line="264" w:lineRule="auto"/>
        <w:rPr>
          <w:i w:val="1"/>
          <w:iCs w:val="1"/>
        </w:rPr>
      </w:pPr>
    </w:p>
    <w:p w:rsidR="00951510" w:rsidP="00951510" w:rsidRDefault="00951510" w14:paraId="3430FFD9" w14:textId="77777777">
      <w:pPr>
        <w:pStyle w:val="ListParagraph"/>
        <w:numPr>
          <w:ilvl w:val="0"/>
          <w:numId w:val="1"/>
        </w:numPr>
        <w:spacing w:after="0" w:line="264" w:lineRule="auto"/>
        <w:rPr/>
      </w:pPr>
      <w:r w:rsidR="00951510">
        <w:rPr/>
        <w:t xml:space="preserve">Incorporate efforts to </w:t>
      </w:r>
      <w:r w:rsidRPr="567A89A2" w:rsidR="00951510">
        <w:rPr>
          <w:b w:val="1"/>
          <w:bCs w:val="1"/>
        </w:rPr>
        <w:t>address GBV into activities targeting children associated with armed forces/groups</w:t>
      </w:r>
      <w:r w:rsidR="00951510">
        <w:rPr/>
        <w:t xml:space="preserve"> (</w:t>
      </w:r>
      <w:r w:rsidR="00951510">
        <w:rPr/>
        <w:t>e.g.</w:t>
      </w:r>
      <w:r w:rsidR="00951510">
        <w:rPr/>
        <w:t xml:space="preserve"> disarmament, </w:t>
      </w:r>
      <w:r w:rsidR="00951510">
        <w:rPr/>
        <w:t>demobilization</w:t>
      </w:r>
      <w:r w:rsidR="00951510">
        <w:rPr/>
        <w:t xml:space="preserve"> and reintegration programs)</w:t>
      </w:r>
    </w:p>
    <w:p w:rsidR="567A89A2" w:rsidP="567A89A2" w:rsidRDefault="567A89A2" w14:paraId="73AD1330" w14:textId="24A82382">
      <w:pPr>
        <w:pStyle w:val="Normal"/>
        <w:spacing w:after="0" w:line="264" w:lineRule="auto"/>
      </w:pPr>
    </w:p>
    <w:p w:rsidR="00951510" w:rsidP="31E16F63" w:rsidRDefault="00951510" w14:paraId="1F98A66A" w14:noSpellErr="1" w14:textId="4685098D">
      <w:pPr>
        <w:pStyle w:val="ListParagraph"/>
        <w:numPr>
          <w:ilvl w:val="0"/>
          <w:numId w:val="1"/>
        </w:numPr>
        <w:spacing w:after="0" w:line="264" w:lineRule="auto"/>
        <w:rPr/>
      </w:pPr>
      <w:r w:rsidR="053452BF">
        <w:rPr/>
        <w:t xml:space="preserve">Ensure the </w:t>
      </w:r>
      <w:r w:rsidRPr="3F547F97" w:rsidR="053452BF">
        <w:rPr>
          <w:b w:val="1"/>
          <w:bCs w:val="1"/>
        </w:rPr>
        <w:t>safety and protection of children in contact with the law</w:t>
      </w:r>
      <w:r w:rsidR="053452BF">
        <w:rPr/>
        <w:t xml:space="preserve">, </w:t>
      </w:r>
      <w:r w:rsidR="053452BF">
        <w:rPr/>
        <w:t>taking into account</w:t>
      </w:r>
      <w:r w:rsidR="053452BF">
        <w:rPr/>
        <w:t xml:space="preserve"> the </w:t>
      </w:r>
      <w:r w:rsidR="053452BF">
        <w:rPr/>
        <w:t>particular risks</w:t>
      </w:r>
      <w:r w:rsidR="053452BF">
        <w:rPr/>
        <w:t xml:space="preserve"> of GBV within detention facilities</w:t>
      </w:r>
    </w:p>
    <w:p w:rsidR="3F547F97" w:rsidP="3F547F97" w:rsidRDefault="3F547F97" w14:paraId="55D7056A" w14:textId="50A5362B">
      <w:pPr>
        <w:spacing w:after="0" w:line="264" w:lineRule="auto"/>
        <w:rPr>
          <w:b w:val="1"/>
          <w:bCs w:val="1"/>
        </w:rPr>
      </w:pPr>
    </w:p>
    <w:p w:rsidRPr="001C6B13" w:rsidR="00951510" w:rsidP="00951510" w:rsidRDefault="00951510" w14:paraId="3E350075" w14:textId="77777777">
      <w:pPr>
        <w:spacing w:after="0" w:line="264" w:lineRule="auto"/>
        <w:rPr>
          <w:b/>
          <w:bCs/>
        </w:rPr>
      </w:pPr>
      <w:r w:rsidRPr="3F547F97" w:rsidR="00951510">
        <w:rPr>
          <w:b w:val="1"/>
          <w:bCs w:val="1"/>
        </w:rPr>
        <w:t>POLICIES</w:t>
      </w:r>
    </w:p>
    <w:p w:rsidR="3F547F97" w:rsidP="3F547F97" w:rsidRDefault="3F547F97" w14:paraId="2163DB2C" w14:textId="1D62D4BF">
      <w:pPr>
        <w:spacing w:after="0" w:line="264" w:lineRule="auto"/>
        <w:rPr>
          <w:b w:val="1"/>
          <w:bCs w:val="1"/>
        </w:rPr>
      </w:pPr>
    </w:p>
    <w:p w:rsidR="00951510" w:rsidP="00951510" w:rsidRDefault="00951510" w14:paraId="6F35C82F" w14:textId="77777777">
      <w:pPr>
        <w:pStyle w:val="ListParagraph"/>
        <w:numPr>
          <w:ilvl w:val="0"/>
          <w:numId w:val="2"/>
        </w:numPr>
        <w:spacing w:after="0" w:line="264" w:lineRule="auto"/>
      </w:pPr>
      <w:r>
        <w:t xml:space="preserve">Support the reform of </w:t>
      </w:r>
      <w:r w:rsidRPr="0027770A">
        <w:t>national and local laws and policies</w:t>
      </w:r>
      <w:r>
        <w:t xml:space="preserve"> (including customary laws) </w:t>
      </w:r>
      <w:r w:rsidRPr="0027770A">
        <w:rPr>
          <w:b/>
          <w:bCs/>
        </w:rPr>
        <w:t>to promote and protect the rights of children and adolescents to be free from GBV</w:t>
      </w:r>
      <w:r>
        <w:t xml:space="preserve"> (with recognition of the </w:t>
      </w:r>
      <w:proofErr w:type="gramStart"/>
      <w:r>
        <w:t>particular vulnerabilities</w:t>
      </w:r>
      <w:proofErr w:type="gramEnd"/>
      <w:r>
        <w:t>, rights and needs of girls and other at-risk groups of children)</w:t>
      </w:r>
    </w:p>
    <w:p w:rsidR="006E6B8C" w:rsidRDefault="006E6B8C" w14:paraId="14F5FE14" w14:textId="77777777"/>
    <w:sectPr w:rsidR="006E6B8C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502e9da8c49247c4"/>
      <w:headerReference w:type="first" r:id="Rf12253970b684d2e"/>
      <w:footerReference w:type="default" r:id="R7064f0c91bd14e91"/>
      <w:footerReference w:type="first" r:id="R1a70f1066aa343a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7A89A2" w:rsidTr="567A89A2" w14:paraId="44340CE5">
      <w:trPr>
        <w:trHeight w:val="300"/>
      </w:trPr>
      <w:tc>
        <w:tcPr>
          <w:tcW w:w="3120" w:type="dxa"/>
          <w:tcMar/>
        </w:tcPr>
        <w:p w:rsidR="567A89A2" w:rsidP="567A89A2" w:rsidRDefault="567A89A2" w14:paraId="1F6785E6" w14:textId="694CBF2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7A89A2" w:rsidP="567A89A2" w:rsidRDefault="567A89A2" w14:paraId="7CD7B3A2" w14:textId="33DDC1A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7A89A2" w:rsidP="567A89A2" w:rsidRDefault="567A89A2" w14:paraId="50A309DE" w14:textId="5D8581DD">
          <w:pPr>
            <w:pStyle w:val="Header"/>
            <w:bidi w:val="0"/>
            <w:ind w:right="-115"/>
            <w:jc w:val="right"/>
          </w:pPr>
        </w:p>
      </w:tc>
    </w:tr>
  </w:tbl>
  <w:p w:rsidR="567A89A2" w:rsidP="567A89A2" w:rsidRDefault="567A89A2" w14:paraId="43200F58" w14:textId="742672D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7A89A2" w:rsidTr="567A89A2" w14:paraId="1D7FD420">
      <w:trPr>
        <w:trHeight w:val="300"/>
      </w:trPr>
      <w:tc>
        <w:tcPr>
          <w:tcW w:w="3120" w:type="dxa"/>
          <w:tcMar/>
        </w:tcPr>
        <w:p w:rsidR="567A89A2" w:rsidP="567A89A2" w:rsidRDefault="567A89A2" w14:paraId="4ACB2D4C" w14:textId="362B0CC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7A89A2" w:rsidP="567A89A2" w:rsidRDefault="567A89A2" w14:paraId="65D1A3AC" w14:textId="40CA755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7A89A2" w:rsidP="567A89A2" w:rsidRDefault="567A89A2" w14:paraId="781F3696" w14:textId="4FEB8607">
          <w:pPr>
            <w:pStyle w:val="Header"/>
            <w:bidi w:val="0"/>
            <w:ind w:right="-115"/>
            <w:jc w:val="right"/>
          </w:pPr>
        </w:p>
      </w:tc>
    </w:tr>
  </w:tbl>
  <w:p w:rsidR="567A89A2" w:rsidP="567A89A2" w:rsidRDefault="567A89A2" w14:paraId="0536B027" w14:textId="3425F32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7A89A2" w:rsidTr="567A89A2" w14:paraId="720DC52B">
      <w:trPr>
        <w:trHeight w:val="300"/>
      </w:trPr>
      <w:tc>
        <w:tcPr>
          <w:tcW w:w="3120" w:type="dxa"/>
          <w:tcMar/>
        </w:tcPr>
        <w:p w:rsidR="567A89A2" w:rsidP="567A89A2" w:rsidRDefault="567A89A2" w14:paraId="26029964" w14:textId="2F3EB20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7A89A2" w:rsidP="567A89A2" w:rsidRDefault="567A89A2" w14:paraId="3B659413" w14:textId="585B641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7A89A2" w:rsidP="567A89A2" w:rsidRDefault="567A89A2" w14:paraId="2047714A" w14:textId="742F22B0">
          <w:pPr>
            <w:pStyle w:val="Header"/>
            <w:bidi w:val="0"/>
            <w:ind w:right="-115"/>
            <w:jc w:val="right"/>
          </w:pPr>
        </w:p>
      </w:tc>
    </w:tr>
  </w:tbl>
  <w:p w:rsidR="567A89A2" w:rsidP="567A89A2" w:rsidRDefault="567A89A2" w14:paraId="33C73048" w14:textId="4DBB32C1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567A89A2" w:rsidTr="567A89A2" w14:paraId="4BEDFB88">
      <w:trPr>
        <w:trHeight w:val="300"/>
      </w:trPr>
      <w:tc>
        <w:tcPr>
          <w:tcW w:w="9360" w:type="dxa"/>
          <w:tcMar/>
        </w:tcPr>
        <w:p w:rsidR="567A89A2" w:rsidP="567A89A2" w:rsidRDefault="567A89A2" w14:paraId="0101EAA1" w14:textId="6B8C8EAD">
          <w:pPr>
            <w:pStyle w:val="Header"/>
            <w:bidi w:val="0"/>
            <w:ind w:left="-115"/>
            <w:jc w:val="left"/>
          </w:pPr>
          <w:r w:rsidR="567A89A2">
            <w:drawing>
              <wp:inline wp14:editId="0C8F3ED7" wp14:anchorId="612FBBAA">
                <wp:extent cx="5810250" cy="762000"/>
                <wp:effectExtent l="0" t="0" r="0" b="0"/>
                <wp:docPr id="94253726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42537260" name="Picture 94253726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8818843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67A89A2" w:rsidP="567A89A2" w:rsidRDefault="567A89A2" w14:paraId="168ADA64" w14:textId="4C8AF93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03074"/>
    <w:multiLevelType w:val="hybridMultilevel"/>
    <w:tmpl w:val="0A22259C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1F0FFB"/>
    <w:multiLevelType w:val="hybridMultilevel"/>
    <w:tmpl w:val="3E5E1936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6887784">
    <w:abstractNumId w:val="1"/>
  </w:num>
  <w:num w:numId="2" w16cid:durableId="207981605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0"/>
    <w:rsid w:val="000C3289"/>
    <w:rsid w:val="001322D3"/>
    <w:rsid w:val="0014453F"/>
    <w:rsid w:val="006E6B8C"/>
    <w:rsid w:val="00757634"/>
    <w:rsid w:val="00951510"/>
    <w:rsid w:val="00A863B7"/>
    <w:rsid w:val="00D0059F"/>
    <w:rsid w:val="012E2139"/>
    <w:rsid w:val="053452BF"/>
    <w:rsid w:val="06BBE78F"/>
    <w:rsid w:val="0832716B"/>
    <w:rsid w:val="09FDC1E8"/>
    <w:rsid w:val="0A370FA7"/>
    <w:rsid w:val="0C2BE731"/>
    <w:rsid w:val="120EFFF0"/>
    <w:rsid w:val="128061E7"/>
    <w:rsid w:val="16FBB537"/>
    <w:rsid w:val="1893A9E4"/>
    <w:rsid w:val="19FD002F"/>
    <w:rsid w:val="1BA87F70"/>
    <w:rsid w:val="1F698F4F"/>
    <w:rsid w:val="210CB70E"/>
    <w:rsid w:val="235E240B"/>
    <w:rsid w:val="250B1B2A"/>
    <w:rsid w:val="27F0D500"/>
    <w:rsid w:val="2BC5EA39"/>
    <w:rsid w:val="30CD058A"/>
    <w:rsid w:val="31E16F63"/>
    <w:rsid w:val="3224F9AC"/>
    <w:rsid w:val="34D5EFED"/>
    <w:rsid w:val="359A1710"/>
    <w:rsid w:val="3C3D4541"/>
    <w:rsid w:val="3F547F97"/>
    <w:rsid w:val="40895EB2"/>
    <w:rsid w:val="40A88EA2"/>
    <w:rsid w:val="4239FDDC"/>
    <w:rsid w:val="47C7F7C9"/>
    <w:rsid w:val="51B6E88A"/>
    <w:rsid w:val="567A89A2"/>
    <w:rsid w:val="6E09CE68"/>
    <w:rsid w:val="6F4EE7A7"/>
    <w:rsid w:val="6F6F126F"/>
    <w:rsid w:val="6FEE2D92"/>
    <w:rsid w:val="71FD2C4A"/>
    <w:rsid w:val="72869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A8DCD"/>
  <w15:chartTrackingRefBased/>
  <w15:docId w15:val="{B065AA31-6E20-D944-9DAE-20AE7475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1510"/>
  </w:style>
  <w:style w:type="paragraph" w:styleId="Heading1">
    <w:name w:val="heading 1"/>
    <w:basedOn w:val="Normal"/>
    <w:next w:val="Normal"/>
    <w:link w:val="Heading1Char"/>
    <w:uiPriority w:val="9"/>
    <w:qFormat/>
    <w:rsid w:val="009515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5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515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515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515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5151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5151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5151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5151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5151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51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5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515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51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51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51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5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1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510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67A89A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67A89A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people.xml" Id="Rf72cd2dd254e475b" /><Relationship Type="http://schemas.microsoft.com/office/2011/relationships/commentsExtended" Target="commentsExtended.xml" Id="R653820d4ef4e4864" /><Relationship Type="http://schemas.microsoft.com/office/2016/09/relationships/commentsIds" Target="commentsIds.xml" Id="Rd01b24ca189c4087" /><Relationship Type="http://schemas.openxmlformats.org/officeDocument/2006/relationships/header" Target="header.xml" Id="R502e9da8c49247c4" /><Relationship Type="http://schemas.openxmlformats.org/officeDocument/2006/relationships/header" Target="header2.xml" Id="Rf12253970b684d2e" /><Relationship Type="http://schemas.openxmlformats.org/officeDocument/2006/relationships/footer" Target="footer.xml" Id="R7064f0c91bd14e91" /><Relationship Type="http://schemas.openxmlformats.org/officeDocument/2006/relationships/footer" Target="footer2.xml" Id="R1a70f1066aa3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68818843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Erin Patrick</lastModifiedBy>
  <revision>5</revision>
  <dcterms:created xsi:type="dcterms:W3CDTF">2025-10-15T19:33:00.0000000Z</dcterms:created>
  <dcterms:modified xsi:type="dcterms:W3CDTF">2026-02-27T23:19:03.3033050Z</dcterms:modified>
</coreProperties>
</file>