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6401" w:rsidR="008E67B6" w:rsidP="3A5E9E0C" w:rsidRDefault="008E67B6" w14:paraId="631E21A5" w14:textId="74C08FDB">
      <w:pPr>
        <w:pStyle w:val="Normal"/>
        <w:spacing w:after="0" w:line="264" w:lineRule="auto"/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</w:pPr>
      <w:r w:rsidRPr="3A5E9E0C" w:rsidR="28C1E92B">
        <w:rPr>
          <w:b w:val="1"/>
          <w:bCs w:val="1"/>
          <w:sz w:val="28"/>
          <w:szCs w:val="28"/>
        </w:rPr>
        <w:t>ESSENTIAL VAWG RISK MITIGATION ACTIONS</w:t>
      </w:r>
      <w:r w:rsidRPr="3A5E9E0C" w:rsidR="39432EF6">
        <w:rPr>
          <w:b w:val="1"/>
          <w:bCs w:val="1"/>
          <w:sz w:val="28"/>
          <w:szCs w:val="28"/>
        </w:rPr>
        <w:t xml:space="preserve"> - </w:t>
      </w:r>
      <w:r w:rsidRPr="3A5E9E0C" w:rsidR="39432EF6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FOOD SECURITY</w:t>
      </w:r>
    </w:p>
    <w:p w:rsidRPr="00A56401" w:rsidR="008E67B6" w:rsidP="008E67B6" w:rsidRDefault="008E67B6" w14:paraId="15FDACA8" w14:textId="77777777">
      <w:pPr>
        <w:spacing w:after="0" w:line="264" w:lineRule="auto"/>
        <w:rPr>
          <w:i/>
          <w:iCs/>
        </w:rPr>
      </w:pPr>
      <w:r w:rsidRPr="00A56401">
        <w:rPr>
          <w:i/>
          <w:iCs/>
        </w:rPr>
        <w:t>Source: IASC GBV Guidelines</w:t>
      </w:r>
    </w:p>
    <w:p w:rsidRPr="00A56401" w:rsidR="008E67B6" w:rsidP="008E67B6" w:rsidRDefault="008E67B6" w14:paraId="3FD56A38" w14:textId="77777777">
      <w:pPr>
        <w:spacing w:after="0" w:line="264" w:lineRule="auto"/>
      </w:pPr>
    </w:p>
    <w:p w:rsidRPr="008E67B6" w:rsidR="008E67B6" w:rsidP="008E67B6" w:rsidRDefault="008E67B6" w14:paraId="7958C13B" w14:textId="77777777">
      <w:pPr>
        <w:spacing w:after="0" w:line="264" w:lineRule="auto"/>
        <w:rPr>
          <w:i/>
          <w:iCs/>
        </w:rPr>
      </w:pPr>
      <w:proofErr w:type="gramStart"/>
      <w:r w:rsidRPr="008E67B6">
        <w:rPr>
          <w:b/>
          <w:bCs/>
          <w:i/>
          <w:iCs/>
        </w:rPr>
        <w:t>Note :</w:t>
      </w:r>
      <w:proofErr w:type="gramEnd"/>
      <w:r w:rsidRPr="008E67B6">
        <w:rPr>
          <w:i/>
          <w:iCs/>
        </w:rPr>
        <w:t xml:space="preserve"> successful program implementation strategies will necessarily be dependent on the specific context in which you’re working. The precise intervention that may be successful in in support access by female-headed households to e-vouchers for food in an urban settlement may not have the same impact in ensuring safe access to food distributions a refugee camp, for example. For that reason, the examples provided in this toolkit are not prescriptive: we cannot tell you exactly what will work in your specific context.  </w:t>
      </w:r>
    </w:p>
    <w:p w:rsidRPr="008E67B6" w:rsidR="008E67B6" w:rsidP="008E67B6" w:rsidRDefault="008E67B6" w14:paraId="5CF9DAEF" w14:textId="77777777">
      <w:pPr>
        <w:spacing w:after="0" w:line="264" w:lineRule="auto"/>
        <w:rPr>
          <w:i/>
          <w:iCs/>
        </w:rPr>
      </w:pPr>
    </w:p>
    <w:p w:rsidRPr="008E67B6" w:rsidR="008E67B6" w:rsidP="008E67B6" w:rsidRDefault="008E67B6" w14:paraId="7850EF3E" w14:textId="77777777">
      <w:pPr>
        <w:spacing w:after="0" w:line="264" w:lineRule="auto"/>
        <w:rPr>
          <w:i/>
          <w:iCs/>
        </w:rPr>
      </w:pPr>
      <w:r w:rsidRPr="008E67B6">
        <w:rPr>
          <w:i/>
          <w:iCs/>
        </w:rPr>
        <w:t xml:space="preserve">However, there are some general activities that are consistently good practice for improving safety and access, and/or which can serve as a proven basis from which contextual adaptations can and should be made. In the IASC GBV Guidelines, these are called “Essential Actions,” and they are outlined below. </w:t>
      </w:r>
    </w:p>
    <w:p w:rsidRPr="002A6BB6" w:rsidR="008E67B6" w:rsidP="008E67B6" w:rsidRDefault="008E67B6" w14:paraId="53F7175B" w14:textId="77777777">
      <w:pPr>
        <w:spacing w:after="0" w:line="264" w:lineRule="auto"/>
      </w:pPr>
    </w:p>
    <w:p w:rsidRPr="0027770A" w:rsidR="008E67B6" w:rsidP="008E67B6" w:rsidRDefault="008E67B6" w14:paraId="4947E53C" w14:textId="77777777">
      <w:pPr>
        <w:spacing w:after="0" w:line="264" w:lineRule="auto"/>
        <w:rPr>
          <w:b/>
          <w:bCs/>
        </w:rPr>
      </w:pPr>
      <w:r w:rsidRPr="0027770A">
        <w:rPr>
          <w:b/>
          <w:bCs/>
        </w:rPr>
        <w:t>PROGRAMMING</w:t>
      </w:r>
    </w:p>
    <w:p w:rsidR="008E67B6" w:rsidP="008E67B6" w:rsidRDefault="008E67B6" w14:paraId="66320D34" w14:textId="77777777">
      <w:pPr>
        <w:spacing w:after="0" w:line="264" w:lineRule="auto"/>
      </w:pPr>
    </w:p>
    <w:p w:rsidR="008E67B6" w:rsidP="008E67B6" w:rsidRDefault="008E67B6" w14:paraId="29317F00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Design </w:t>
      </w:r>
      <w:r w:rsidRPr="0027770A">
        <w:rPr>
          <w:b/>
          <w:bCs/>
        </w:rPr>
        <w:t>commodity- and cash-based interventions in ways that minimize the risk of VAWG</w:t>
      </w:r>
      <w:r>
        <w:t>. For example:</w:t>
      </w:r>
    </w:p>
    <w:p w:rsidR="008E67B6" w:rsidP="008E67B6" w:rsidRDefault="008E67B6" w14:paraId="6AE1E72F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Transfer modalities that meet food requirement </w:t>
      </w:r>
      <w:proofErr w:type="gramStart"/>
      <w:r>
        <w:t>needs;</w:t>
      </w:r>
      <w:proofErr w:type="gramEnd"/>
      <w:r>
        <w:t xml:space="preserve"> </w:t>
      </w:r>
    </w:p>
    <w:p w:rsidR="008E67B6" w:rsidP="008E67B6" w:rsidRDefault="008E67B6" w14:paraId="776EDB26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Food ration cards assigned without </w:t>
      </w:r>
      <w:proofErr w:type="gramStart"/>
      <w:r>
        <w:t>discrimination;</w:t>
      </w:r>
      <w:proofErr w:type="gramEnd"/>
      <w:r>
        <w:t xml:space="preserve"> </w:t>
      </w:r>
    </w:p>
    <w:p w:rsidR="008E67B6" w:rsidP="008E67B6" w:rsidRDefault="008E67B6" w14:paraId="72DA425A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>Ensure both girls and boys are included in school feeding programs (consider situations where girls may miss out on school feeding due to not being in school</w:t>
      </w:r>
      <w:proofErr w:type="gramStart"/>
      <w:r>
        <w:t>);</w:t>
      </w:r>
      <w:proofErr w:type="gramEnd"/>
    </w:p>
    <w:p w:rsidRPr="0027770A" w:rsidR="008E67B6" w:rsidP="008E67B6" w:rsidRDefault="008E67B6" w14:paraId="3A307925" w14:textId="77777777">
      <w:pPr>
        <w:pStyle w:val="ListParagraph"/>
        <w:numPr>
          <w:ilvl w:val="1"/>
          <w:numId w:val="1"/>
        </w:numPr>
        <w:spacing w:after="0" w:line="264" w:lineRule="auto"/>
        <w:rPr>
          <w:i/>
          <w:iCs/>
        </w:rPr>
      </w:pPr>
      <w:r w:rsidRPr="3A5E9E0C" w:rsidR="28C1E92B">
        <w:rPr>
          <w:i w:val="1"/>
          <w:iCs w:val="1"/>
        </w:rPr>
        <w:t>Other according to context</w:t>
      </w:r>
    </w:p>
    <w:p w:rsidR="3A5E9E0C" w:rsidP="3A5E9E0C" w:rsidRDefault="3A5E9E0C" w14:paraId="6A64538A" w14:textId="7E150824">
      <w:pPr>
        <w:pStyle w:val="Normal"/>
        <w:spacing w:after="0" w:line="264" w:lineRule="auto"/>
        <w:rPr>
          <w:i w:val="1"/>
          <w:iCs w:val="1"/>
        </w:rPr>
      </w:pPr>
    </w:p>
    <w:p w:rsidR="008E67B6" w:rsidP="008E67B6" w:rsidRDefault="008E67B6" w14:paraId="70A4636B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Take steps to </w:t>
      </w:r>
      <w:r w:rsidRPr="0027770A">
        <w:rPr>
          <w:b/>
          <w:bCs/>
        </w:rPr>
        <w:t>address food insecurity for women, girls and other at-risk groups through agriculture and livestock programming</w:t>
      </w:r>
      <w:r>
        <w:rPr>
          <w:b/>
          <w:bCs/>
        </w:rPr>
        <w:t xml:space="preserve">. </w:t>
      </w:r>
      <w:r w:rsidRPr="0027770A">
        <w:t>For example:</w:t>
      </w:r>
      <w:r>
        <w:rPr>
          <w:b/>
          <w:bCs/>
        </w:rPr>
        <w:t xml:space="preserve"> </w:t>
      </w:r>
    </w:p>
    <w:p w:rsidR="008E67B6" w:rsidP="008E67B6" w:rsidRDefault="008E67B6" w14:paraId="6D86FE0C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Include interventions that increase agricultural production and diversification into humanitarian </w:t>
      </w:r>
      <w:proofErr w:type="gramStart"/>
      <w:r>
        <w:t>response;</w:t>
      </w:r>
      <w:proofErr w:type="gramEnd"/>
      <w:r>
        <w:t xml:space="preserve"> </w:t>
      </w:r>
    </w:p>
    <w:p w:rsidR="008E67B6" w:rsidP="008E67B6" w:rsidRDefault="008E67B6" w14:paraId="6ECD0E10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Facilitate ownership of livestock assets for women, girls and other at-risk </w:t>
      </w:r>
      <w:proofErr w:type="gramStart"/>
      <w:r>
        <w:t>groups;</w:t>
      </w:r>
      <w:proofErr w:type="gramEnd"/>
      <w:r>
        <w:t xml:space="preserve"> </w:t>
      </w:r>
    </w:p>
    <w:p w:rsidR="008E67B6" w:rsidP="3A5E9E0C" w:rsidRDefault="008E67B6" w14:paraId="4BA177D2" w14:textId="77777777">
      <w:pPr>
        <w:pStyle w:val="ListParagraph"/>
        <w:numPr>
          <w:ilvl w:val="1"/>
          <w:numId w:val="1"/>
        </w:numPr>
        <w:spacing w:after="0" w:line="264" w:lineRule="auto"/>
        <w:rPr>
          <w:i w:val="1"/>
          <w:iCs w:val="1"/>
        </w:rPr>
      </w:pPr>
      <w:r w:rsidRPr="3A5E9E0C" w:rsidR="28C1E92B">
        <w:rPr>
          <w:i w:val="1"/>
          <w:iCs w:val="1"/>
        </w:rPr>
        <w:t>Other according to context</w:t>
      </w:r>
    </w:p>
    <w:p w:rsidR="3A5E9E0C" w:rsidP="3A5E9E0C" w:rsidRDefault="3A5E9E0C" w14:paraId="2D4CAD71" w14:textId="69636BD3">
      <w:pPr>
        <w:pStyle w:val="Normal"/>
        <w:spacing w:after="0" w:line="264" w:lineRule="auto"/>
        <w:rPr>
          <w:i w:val="1"/>
          <w:iCs w:val="1"/>
        </w:rPr>
      </w:pPr>
    </w:p>
    <w:p w:rsidRPr="0027770A" w:rsidR="008E67B6" w:rsidP="008E67B6" w:rsidRDefault="008E67B6" w14:paraId="0C7E7E72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Implement strategies that </w:t>
      </w:r>
      <w:r w:rsidRPr="0027770A">
        <w:rPr>
          <w:b/>
          <w:bCs/>
        </w:rPr>
        <w:t>increase the safety in and around food security and agricultural livelihoods activities</w:t>
      </w:r>
      <w:r>
        <w:rPr>
          <w:b/>
          <w:bCs/>
        </w:rPr>
        <w:t xml:space="preserve">. </w:t>
      </w:r>
      <w:r w:rsidRPr="0027770A">
        <w:t>For example:</w:t>
      </w:r>
    </w:p>
    <w:p w:rsidR="008E67B6" w:rsidP="008E67B6" w:rsidRDefault="008E67B6" w14:paraId="6BC59601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Adhere to Sphere standards for safe </w:t>
      </w:r>
      <w:proofErr w:type="gramStart"/>
      <w:r>
        <w:t>locations;</w:t>
      </w:r>
      <w:proofErr w:type="gramEnd"/>
      <w:r>
        <w:t xml:space="preserve"> </w:t>
      </w:r>
    </w:p>
    <w:p w:rsidR="008E67B6" w:rsidP="008E67B6" w:rsidRDefault="008E67B6" w14:paraId="1618A638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Carry out food distribution during daylight </w:t>
      </w:r>
      <w:proofErr w:type="gramStart"/>
      <w:r>
        <w:t>hours;</w:t>
      </w:r>
      <w:proofErr w:type="gramEnd"/>
      <w:r>
        <w:t xml:space="preserve"> </w:t>
      </w:r>
    </w:p>
    <w:p w:rsidR="008E67B6" w:rsidP="008E67B6" w:rsidRDefault="008E67B6" w14:paraId="4AAD5D94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Consider female distribution monitors and/or sex-segregated distribution </w:t>
      </w:r>
      <w:proofErr w:type="gramStart"/>
      <w:r>
        <w:t>sites;</w:t>
      </w:r>
      <w:proofErr w:type="gramEnd"/>
      <w:r>
        <w:t xml:space="preserve"> </w:t>
      </w:r>
    </w:p>
    <w:p w:rsidR="008E67B6" w:rsidP="008E67B6" w:rsidRDefault="008E67B6" w14:paraId="77EBC92F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>Ensure crowd control measures (including to prevent overcrowding</w:t>
      </w:r>
      <w:proofErr w:type="gramStart"/>
      <w:r>
        <w:t>);</w:t>
      </w:r>
      <w:proofErr w:type="gramEnd"/>
    </w:p>
    <w:p w:rsidRPr="0027770A" w:rsidR="008E67B6" w:rsidP="008E67B6" w:rsidRDefault="008E67B6" w14:paraId="2B9208C9" w14:textId="77777777">
      <w:pPr>
        <w:pStyle w:val="ListParagraph"/>
        <w:numPr>
          <w:ilvl w:val="1"/>
          <w:numId w:val="1"/>
        </w:numPr>
        <w:spacing w:after="0" w:line="264" w:lineRule="auto"/>
        <w:rPr>
          <w:i/>
          <w:iCs/>
        </w:rPr>
      </w:pPr>
      <w:r w:rsidRPr="3A5E9E0C" w:rsidR="28C1E92B">
        <w:rPr>
          <w:i w:val="1"/>
          <w:iCs w:val="1"/>
        </w:rPr>
        <w:t>Other according to context</w:t>
      </w:r>
    </w:p>
    <w:p w:rsidR="3A5E9E0C" w:rsidP="3A5E9E0C" w:rsidRDefault="3A5E9E0C" w14:paraId="45BD8348" w14:textId="1D0634E7">
      <w:pPr>
        <w:pStyle w:val="Normal"/>
        <w:spacing w:after="0" w:line="264" w:lineRule="auto"/>
        <w:rPr>
          <w:i w:val="1"/>
          <w:iCs w:val="1"/>
        </w:rPr>
      </w:pPr>
    </w:p>
    <w:p w:rsidR="008E67B6" w:rsidP="008E67B6" w:rsidRDefault="008E67B6" w14:paraId="1C67D27A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Incorporate </w:t>
      </w:r>
      <w:r w:rsidRPr="0027770A">
        <w:rPr>
          <w:b/>
          <w:bCs/>
        </w:rPr>
        <w:t>safe access to cooking fuel and alternative energy</w:t>
      </w:r>
      <w:r>
        <w:t xml:space="preserve"> into programs to reduce risks of VAWG associated with access to firewood and other cooking fuels. For example: </w:t>
      </w:r>
    </w:p>
    <w:p w:rsidR="008E67B6" w:rsidP="008E67B6" w:rsidRDefault="008E67B6" w14:paraId="5602426C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 xml:space="preserve">Consult local populations to create strategies for accessing cooking </w:t>
      </w:r>
      <w:proofErr w:type="gramStart"/>
      <w:r>
        <w:t>fuel;</w:t>
      </w:r>
      <w:proofErr w:type="gramEnd"/>
      <w:r>
        <w:t xml:space="preserve"> </w:t>
      </w:r>
    </w:p>
    <w:p w:rsidR="008E67B6" w:rsidP="008E67B6" w:rsidRDefault="008E67B6" w14:paraId="2FBB1A9A" w14:textId="77777777">
      <w:pPr>
        <w:pStyle w:val="ListParagraph"/>
        <w:numPr>
          <w:ilvl w:val="1"/>
          <w:numId w:val="1"/>
        </w:numPr>
        <w:spacing w:after="0" w:line="264" w:lineRule="auto"/>
      </w:pPr>
      <w:r>
        <w:t>Encourage/support use of fuel-efficient stoves and fuel-saving cooking techniques (including through the provision of stoves and/or cooking fuel</w:t>
      </w:r>
      <w:proofErr w:type="gramStart"/>
      <w:r>
        <w:t>);</w:t>
      </w:r>
      <w:proofErr w:type="gramEnd"/>
      <w:r>
        <w:t xml:space="preserve"> </w:t>
      </w:r>
    </w:p>
    <w:p w:rsidRPr="0027770A" w:rsidR="008E67B6" w:rsidP="008E67B6" w:rsidRDefault="008E67B6" w14:paraId="37F858F7" w14:textId="77777777">
      <w:pPr>
        <w:pStyle w:val="ListParagraph"/>
        <w:numPr>
          <w:ilvl w:val="1"/>
          <w:numId w:val="1"/>
        </w:numPr>
        <w:spacing w:after="0" w:line="264" w:lineRule="auto"/>
        <w:rPr>
          <w:i/>
          <w:iCs/>
        </w:rPr>
      </w:pPr>
      <w:r w:rsidRPr="0027770A">
        <w:rPr>
          <w:i/>
          <w:iCs/>
        </w:rPr>
        <w:t>Other according to context</w:t>
      </w:r>
    </w:p>
    <w:p w:rsidR="008E67B6" w:rsidP="008E67B6" w:rsidRDefault="008E67B6" w14:paraId="4D79DF76" w14:textId="77777777">
      <w:pPr>
        <w:spacing w:after="0" w:line="264" w:lineRule="auto"/>
      </w:pPr>
    </w:p>
    <w:p w:rsidRPr="00993304" w:rsidR="008E67B6" w:rsidP="008E67B6" w:rsidRDefault="008E67B6" w14:paraId="577E82A4" w14:textId="77777777">
      <w:pPr>
        <w:spacing w:after="0" w:line="264" w:lineRule="auto"/>
        <w:rPr>
          <w:b/>
          <w:bCs/>
        </w:rPr>
      </w:pPr>
      <w:r w:rsidRPr="00993304">
        <w:rPr>
          <w:b/>
          <w:bCs/>
        </w:rPr>
        <w:t>POLICIES</w:t>
      </w:r>
    </w:p>
    <w:p w:rsidR="008E67B6" w:rsidP="008E67B6" w:rsidRDefault="008E67B6" w14:paraId="2B66A013" w14:textId="77777777">
      <w:pPr>
        <w:spacing w:after="0" w:line="264" w:lineRule="auto"/>
      </w:pPr>
    </w:p>
    <w:p w:rsidR="008E67B6" w:rsidP="008E67B6" w:rsidRDefault="008E67B6" w14:paraId="7BE87599" w14:textId="77777777">
      <w:pPr>
        <w:pStyle w:val="ListParagraph"/>
        <w:numPr>
          <w:ilvl w:val="0"/>
          <w:numId w:val="2"/>
        </w:numPr>
        <w:spacing w:after="0" w:line="264" w:lineRule="auto"/>
      </w:pPr>
      <w:r>
        <w:t xml:space="preserve">Advocate for the integration of VAWG risk mitigation activities into national and local policies and plans related to </w:t>
      </w:r>
      <w:proofErr w:type="gramStart"/>
      <w:r>
        <w:t>FSA, and</w:t>
      </w:r>
      <w:proofErr w:type="gramEnd"/>
      <w:r>
        <w:t xml:space="preserve"> allocate funding for sustainability. For example: </w:t>
      </w:r>
    </w:p>
    <w:p w:rsidR="008E67B6" w:rsidP="008E67B6" w:rsidRDefault="008E67B6" w14:paraId="1FF464D2" w14:textId="77777777">
      <w:pPr>
        <w:pStyle w:val="ListParagraph"/>
        <w:numPr>
          <w:ilvl w:val="1"/>
          <w:numId w:val="2"/>
        </w:numPr>
        <w:spacing w:after="0" w:line="264" w:lineRule="auto"/>
      </w:pPr>
      <w:r>
        <w:t xml:space="preserve">Policies for safe access to cooking </w:t>
      </w:r>
      <w:proofErr w:type="gramStart"/>
      <w:r>
        <w:t>fuel;</w:t>
      </w:r>
      <w:proofErr w:type="gramEnd"/>
      <w:r>
        <w:t xml:space="preserve"> </w:t>
      </w:r>
    </w:p>
    <w:p w:rsidR="008E67B6" w:rsidP="008E67B6" w:rsidRDefault="008E67B6" w14:paraId="7DCC97E3" w14:textId="77777777">
      <w:pPr>
        <w:pStyle w:val="ListParagraph"/>
        <w:numPr>
          <w:ilvl w:val="1"/>
          <w:numId w:val="2"/>
        </w:numPr>
        <w:spacing w:after="0" w:line="264" w:lineRule="auto"/>
      </w:pPr>
      <w:r>
        <w:t xml:space="preserve">Plans to promote the participation of women and other at-risk groups in agricultural diversification and livestock programs, protection of natural resources and related skills-building, </w:t>
      </w:r>
      <w:proofErr w:type="gramStart"/>
      <w:r>
        <w:t>etc.;</w:t>
      </w:r>
      <w:proofErr w:type="gramEnd"/>
    </w:p>
    <w:p w:rsidRPr="00993304" w:rsidR="008E67B6" w:rsidP="008E67B6" w:rsidRDefault="008E67B6" w14:paraId="2CEBEA3C" w14:textId="77777777">
      <w:pPr>
        <w:pStyle w:val="ListParagraph"/>
        <w:numPr>
          <w:ilvl w:val="1"/>
          <w:numId w:val="2"/>
        </w:numPr>
        <w:spacing w:after="0" w:line="264" w:lineRule="auto"/>
        <w:rPr>
          <w:i/>
          <w:iCs/>
        </w:rPr>
      </w:pPr>
      <w:r w:rsidRPr="00993304">
        <w:rPr>
          <w:i/>
          <w:iCs/>
        </w:rPr>
        <w:t>Other according to context</w:t>
      </w:r>
    </w:p>
    <w:p w:rsidR="006E6B8C" w:rsidRDefault="006E6B8C" w14:paraId="41113E22" w14:textId="77777777"/>
    <w:sectPr w:rsidR="006E6B8C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7c78d54e55b34b54"/>
      <w:headerReference w:type="first" r:id="R857a4e4d8ca049f4"/>
      <w:footerReference w:type="default" r:id="R75249c4173c7421a"/>
      <w:footerReference w:type="first" r:id="R66db454000b2427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5E9E0C" w:rsidTr="3A5E9E0C" w14:paraId="4C024FDE">
      <w:trPr>
        <w:trHeight w:val="300"/>
      </w:trPr>
      <w:tc>
        <w:tcPr>
          <w:tcW w:w="3120" w:type="dxa"/>
          <w:tcMar/>
        </w:tcPr>
        <w:p w:rsidR="3A5E9E0C" w:rsidP="3A5E9E0C" w:rsidRDefault="3A5E9E0C" w14:paraId="1C742169" w14:textId="023B954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5E9E0C" w:rsidP="3A5E9E0C" w:rsidRDefault="3A5E9E0C" w14:paraId="01202807" w14:textId="1AE2FDF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5E9E0C" w:rsidP="3A5E9E0C" w:rsidRDefault="3A5E9E0C" w14:paraId="78D81DC8" w14:textId="2EF32851">
          <w:pPr>
            <w:pStyle w:val="Header"/>
            <w:bidi w:val="0"/>
            <w:ind w:right="-115"/>
            <w:jc w:val="right"/>
          </w:pPr>
        </w:p>
      </w:tc>
    </w:tr>
  </w:tbl>
  <w:p w:rsidR="3A5E9E0C" w:rsidP="3A5E9E0C" w:rsidRDefault="3A5E9E0C" w14:paraId="461C7E52" w14:textId="58ABAFB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5E9E0C" w:rsidTr="3A5E9E0C" w14:paraId="138D1CD7">
      <w:trPr>
        <w:trHeight w:val="300"/>
      </w:trPr>
      <w:tc>
        <w:tcPr>
          <w:tcW w:w="3120" w:type="dxa"/>
          <w:tcMar/>
        </w:tcPr>
        <w:p w:rsidR="3A5E9E0C" w:rsidP="3A5E9E0C" w:rsidRDefault="3A5E9E0C" w14:paraId="6BBF5881" w14:textId="0A8688D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5E9E0C" w:rsidP="3A5E9E0C" w:rsidRDefault="3A5E9E0C" w14:paraId="060C2AF5" w14:textId="159A40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5E9E0C" w:rsidP="3A5E9E0C" w:rsidRDefault="3A5E9E0C" w14:paraId="1111C5FD" w14:textId="1CBF45BB">
          <w:pPr>
            <w:pStyle w:val="Header"/>
            <w:bidi w:val="0"/>
            <w:ind w:right="-115"/>
            <w:jc w:val="right"/>
          </w:pPr>
        </w:p>
      </w:tc>
    </w:tr>
  </w:tbl>
  <w:p w:rsidR="3A5E9E0C" w:rsidP="3A5E9E0C" w:rsidRDefault="3A5E9E0C" w14:paraId="388E1E05" w14:textId="7012A9D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5E9E0C" w:rsidTr="3A5E9E0C" w14:paraId="2065D113">
      <w:trPr>
        <w:trHeight w:val="300"/>
      </w:trPr>
      <w:tc>
        <w:tcPr>
          <w:tcW w:w="3120" w:type="dxa"/>
          <w:tcMar/>
        </w:tcPr>
        <w:p w:rsidR="3A5E9E0C" w:rsidP="3A5E9E0C" w:rsidRDefault="3A5E9E0C" w14:paraId="421B248D" w14:textId="763D769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5E9E0C" w:rsidP="3A5E9E0C" w:rsidRDefault="3A5E9E0C" w14:paraId="3C5AF969" w14:textId="63E59B3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5E9E0C" w:rsidP="3A5E9E0C" w:rsidRDefault="3A5E9E0C" w14:paraId="3C2F2204" w14:textId="0EF50E27">
          <w:pPr>
            <w:pStyle w:val="Header"/>
            <w:bidi w:val="0"/>
            <w:ind w:right="-115"/>
            <w:jc w:val="right"/>
          </w:pPr>
        </w:p>
      </w:tc>
    </w:tr>
  </w:tbl>
  <w:p w:rsidR="3A5E9E0C" w:rsidP="3A5E9E0C" w:rsidRDefault="3A5E9E0C" w14:paraId="30F88C75" w14:textId="6858ADAC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3A5E9E0C" w:rsidTr="3A5E9E0C" w14:paraId="2839E4BE">
      <w:trPr>
        <w:trHeight w:val="300"/>
      </w:trPr>
      <w:tc>
        <w:tcPr>
          <w:tcW w:w="9360" w:type="dxa"/>
          <w:tcMar/>
        </w:tcPr>
        <w:p w:rsidR="3A5E9E0C" w:rsidP="3A5E9E0C" w:rsidRDefault="3A5E9E0C" w14:paraId="494AFACD" w14:textId="7FF33413">
          <w:pPr>
            <w:pStyle w:val="Header"/>
            <w:bidi w:val="0"/>
            <w:ind w:left="-115"/>
            <w:jc w:val="left"/>
          </w:pPr>
          <w:r w:rsidR="3A5E9E0C">
            <w:drawing>
              <wp:inline wp14:editId="475C69BD" wp14:anchorId="2DC70237">
                <wp:extent cx="5810250" cy="762000"/>
                <wp:effectExtent l="0" t="0" r="0" b="0"/>
                <wp:docPr id="20680483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8048361" name="Picture 206804836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791090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A5E9E0C" w:rsidP="3A5E9E0C" w:rsidRDefault="3A5E9E0C" w14:paraId="0F5AFC22" w14:textId="6CB52F1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D54"/>
    <w:multiLevelType w:val="hybridMultilevel"/>
    <w:tmpl w:val="25CA16B6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565723"/>
    <w:multiLevelType w:val="hybridMultilevel"/>
    <w:tmpl w:val="F3442B16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8165734">
    <w:abstractNumId w:val="0"/>
  </w:num>
  <w:num w:numId="2" w16cid:durableId="3462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B6"/>
    <w:rsid w:val="000C3289"/>
    <w:rsid w:val="001322D3"/>
    <w:rsid w:val="0014453F"/>
    <w:rsid w:val="006E6B8C"/>
    <w:rsid w:val="00757634"/>
    <w:rsid w:val="008E67B6"/>
    <w:rsid w:val="00A863B7"/>
    <w:rsid w:val="00D0059F"/>
    <w:rsid w:val="28C1E92B"/>
    <w:rsid w:val="39432EF6"/>
    <w:rsid w:val="3A5E9E0C"/>
    <w:rsid w:val="66E5E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1F0DA"/>
  <w15:chartTrackingRefBased/>
  <w15:docId w15:val="{64E851BF-3512-DD4D-9821-C7B2A45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7B6"/>
  </w:style>
  <w:style w:type="paragraph" w:styleId="Heading1">
    <w:name w:val="heading 1"/>
    <w:basedOn w:val="Normal"/>
    <w:next w:val="Normal"/>
    <w:link w:val="Heading1Char"/>
    <w:uiPriority w:val="9"/>
    <w:qFormat/>
    <w:rsid w:val="008E67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7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67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E67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E67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E67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E67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E67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E67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E67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E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7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67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E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7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E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7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6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7B6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A5E9E0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5E9E0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7c78d54e55b34b54" /><Relationship Type="http://schemas.openxmlformats.org/officeDocument/2006/relationships/header" Target="header2.xml" Id="R857a4e4d8ca049f4" /><Relationship Type="http://schemas.openxmlformats.org/officeDocument/2006/relationships/footer" Target="footer.xml" Id="R75249c4173c7421a" /><Relationship Type="http://schemas.openxmlformats.org/officeDocument/2006/relationships/footer" Target="footer2.xml" Id="R66db454000b2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679109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Erin Patrick</lastModifiedBy>
  <revision>2</revision>
  <dcterms:created xsi:type="dcterms:W3CDTF">2025-10-15T19:38:00.0000000Z</dcterms:created>
  <dcterms:modified xsi:type="dcterms:W3CDTF">2026-02-27T23:25:43.7321297Z</dcterms:modified>
</coreProperties>
</file>