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8CE9" w14:textId="5F130E0A" w:rsidR="00AF25E5" w:rsidRDefault="682BDA41" w:rsidP="0891E87B">
      <w:pPr>
        <w:spacing w:after="0" w:line="240" w:lineRule="auto"/>
        <w:rPr>
          <w:rFonts w:ascii="Aptos" w:eastAsia="Aptos" w:hAnsi="Aptos" w:cs="Aptos"/>
          <w:sz w:val="28"/>
          <w:szCs w:val="28"/>
        </w:rPr>
      </w:pPr>
      <w:r w:rsidRPr="567BC849">
        <w:rPr>
          <w:rFonts w:ascii="Aptos" w:eastAsia="Aptos" w:hAnsi="Aptos" w:cs="Aptos"/>
          <w:b/>
          <w:bCs/>
          <w:sz w:val="28"/>
          <w:szCs w:val="28"/>
        </w:rPr>
        <w:t>CARE DO NO HARM IN PRACTICE TOOLKIT</w:t>
      </w:r>
    </w:p>
    <w:p w14:paraId="5A892FB9" w14:textId="43AF7979" w:rsidR="682BDA41" w:rsidRDefault="682BDA41" w:rsidP="0891E87B">
      <w:pPr>
        <w:spacing w:after="0" w:line="240" w:lineRule="auto"/>
        <w:rPr>
          <w:rFonts w:ascii="Aptos" w:eastAsia="Aptos" w:hAnsi="Aptos" w:cs="Aptos"/>
          <w:i/>
          <w:iCs/>
        </w:rPr>
      </w:pPr>
      <w:r w:rsidRPr="4A7E56AD">
        <w:rPr>
          <w:b/>
          <w:bCs/>
        </w:rPr>
        <w:t>VAWG Risk Mitigation General Good-Practice Tipsheet</w:t>
      </w:r>
      <w:r w:rsidRPr="6C32BD93">
        <w:rPr>
          <w:rFonts w:ascii="Aptos" w:eastAsia="Aptos" w:hAnsi="Aptos" w:cs="Aptos"/>
          <w:i/>
          <w:iCs/>
        </w:rPr>
        <w:t xml:space="preserve"> </w:t>
      </w:r>
    </w:p>
    <w:p w14:paraId="66760879" w14:textId="653A5F38" w:rsidR="00AF25E5" w:rsidRDefault="682BDA41" w:rsidP="0891E87B">
      <w:pPr>
        <w:spacing w:after="0" w:line="240" w:lineRule="auto"/>
        <w:rPr>
          <w:b/>
          <w:bCs/>
          <w:sz w:val="32"/>
          <w:szCs w:val="32"/>
        </w:rPr>
      </w:pPr>
      <w:r w:rsidRPr="05151EB7">
        <w:rPr>
          <w:rFonts w:ascii="Aptos" w:eastAsia="Aptos" w:hAnsi="Aptos" w:cs="Aptos"/>
          <w:i/>
          <w:iCs/>
        </w:rPr>
        <w:t xml:space="preserve">Source: </w:t>
      </w:r>
      <w:r w:rsidRPr="4B7965A8">
        <w:rPr>
          <w:rFonts w:ascii="Aptos" w:eastAsia="Aptos" w:hAnsi="Aptos" w:cs="Aptos"/>
          <w:i/>
          <w:iCs/>
        </w:rPr>
        <w:t>CARE</w:t>
      </w:r>
      <w:r w:rsidR="402CEC69" w:rsidRPr="5E2AFD93">
        <w:rPr>
          <w:rFonts w:ascii="Aptos" w:eastAsia="Aptos" w:hAnsi="Aptos" w:cs="Aptos"/>
          <w:i/>
          <w:iCs/>
        </w:rPr>
        <w:t xml:space="preserve">, </w:t>
      </w:r>
      <w:r w:rsidR="402CEC69" w:rsidRPr="67DFCA7F">
        <w:rPr>
          <w:rFonts w:ascii="Aptos" w:eastAsia="Aptos" w:hAnsi="Aptos" w:cs="Aptos"/>
          <w:i/>
          <w:iCs/>
        </w:rPr>
        <w:t xml:space="preserve">IASC GBV </w:t>
      </w:r>
      <w:r w:rsidR="402CEC69" w:rsidRPr="7098B78F">
        <w:rPr>
          <w:rFonts w:ascii="Aptos" w:eastAsia="Aptos" w:hAnsi="Aptos" w:cs="Aptos"/>
          <w:i/>
          <w:iCs/>
        </w:rPr>
        <w:t>Guidelines</w:t>
      </w:r>
      <w:r w:rsidRPr="05151EB7">
        <w:rPr>
          <w:b/>
          <w:bCs/>
          <w:sz w:val="32"/>
          <w:szCs w:val="32"/>
        </w:rPr>
        <w:t xml:space="preserve"> </w:t>
      </w:r>
    </w:p>
    <w:p w14:paraId="651284BC" w14:textId="12BAA335" w:rsidR="59AAA3ED" w:rsidRDefault="59AAA3ED" w:rsidP="59AAA3ED">
      <w:pPr>
        <w:spacing w:after="0" w:line="240" w:lineRule="auto"/>
        <w:rPr>
          <w:rStyle w:val="normaltextrun"/>
          <w:rFonts w:ascii="Aptos" w:hAnsi="Aptos"/>
          <w:b/>
          <w:bCs/>
          <w:color w:val="000000" w:themeColor="text1"/>
        </w:rPr>
      </w:pPr>
    </w:p>
    <w:p w14:paraId="34AA2453" w14:textId="549012E0" w:rsidR="0043716A" w:rsidRPr="002B73D1" w:rsidRDefault="0043716A" w:rsidP="0891E87B">
      <w:pPr>
        <w:spacing w:after="0" w:line="240" w:lineRule="auto"/>
        <w:rPr>
          <w:b/>
          <w:bCs/>
          <w:sz w:val="32"/>
          <w:szCs w:val="32"/>
        </w:rPr>
      </w:pPr>
      <w:r>
        <w:rPr>
          <w:rStyle w:val="normaltextrun"/>
          <w:rFonts w:ascii="Aptos" w:hAnsi="Aptos"/>
          <w:b/>
          <w:bCs/>
          <w:color w:val="000000"/>
          <w:shd w:val="clear" w:color="auto" w:fill="FFFFFF"/>
        </w:rPr>
        <w:t xml:space="preserve">This tool is part of CARE’s </w:t>
      </w:r>
      <w:r>
        <w:rPr>
          <w:rStyle w:val="normaltextrun"/>
          <w:rFonts w:ascii="Aptos" w:hAnsi="Aptos"/>
          <w:b/>
          <w:bCs/>
          <w:color w:val="000000"/>
          <w:shd w:val="clear" w:color="auto" w:fill="FFFF00"/>
        </w:rPr>
        <w:t xml:space="preserve">Do No Harm in Practice Toolkit. </w:t>
      </w:r>
    </w:p>
    <w:p w14:paraId="0A7A5A06" w14:textId="420298F2" w:rsidR="0D157239" w:rsidRDefault="0D157239" w:rsidP="0D157239">
      <w:pPr>
        <w:spacing w:after="0" w:line="240" w:lineRule="auto"/>
        <w:rPr>
          <w:b/>
          <w:bCs/>
        </w:rPr>
      </w:pPr>
    </w:p>
    <w:p w14:paraId="7B99DE69" w14:textId="7321D955" w:rsidR="002A023E" w:rsidRPr="002A023E" w:rsidRDefault="63B7E9F0" w:rsidP="0891E87B">
      <w:pPr>
        <w:spacing w:after="0" w:line="240" w:lineRule="auto"/>
        <w:rPr>
          <w:b/>
          <w:bCs/>
        </w:rPr>
      </w:pPr>
      <w:r w:rsidRPr="25EC8318">
        <w:rPr>
          <w:b/>
          <w:bCs/>
        </w:rPr>
        <w:t>WHAT IS IT?</w:t>
      </w:r>
    </w:p>
    <w:p w14:paraId="784871DA" w14:textId="5FA15BC6" w:rsidR="002A023E" w:rsidRDefault="7F48F143">
      <w:r>
        <w:t xml:space="preserve">While the most effective VAWG risk mitigation interventions are those that are adapted to the context and </w:t>
      </w:r>
      <w:r w:rsidR="322038FC">
        <w:t xml:space="preserve">to the </w:t>
      </w:r>
      <w:r>
        <w:t>specific ne</w:t>
      </w:r>
      <w:r w:rsidR="3EA6EFDC">
        <w:t>eds of th</w:t>
      </w:r>
      <w:r w:rsidR="7B45E04E">
        <w:t xml:space="preserve">ose most at risk of VAWG in the context, there are some activities that are </w:t>
      </w:r>
      <w:r w:rsidR="7B45E04E" w:rsidRPr="007C1724">
        <w:rPr>
          <w:i/>
          <w:iCs/>
        </w:rPr>
        <w:t>always</w:t>
      </w:r>
      <w:r w:rsidR="7B45E04E">
        <w:t xml:space="preserve"> good practice for VAWG risk mitigation, regardless of context. </w:t>
      </w:r>
      <w:r w:rsidR="002A023E">
        <w:t xml:space="preserve">This tipsheet provides an </w:t>
      </w:r>
      <w:r w:rsidR="002A023E" w:rsidRPr="4AB7AED9">
        <w:rPr>
          <w:b/>
          <w:bCs/>
        </w:rPr>
        <w:t>overview of activities that are consistently good practice for improving safety and access across ALL humanitarian sectors</w:t>
      </w:r>
      <w:r w:rsidR="002A023E">
        <w:t xml:space="preserve">, and can serve as a proven basis from which contextual adaptation can be made. </w:t>
      </w:r>
      <w:r w:rsidR="002A023E" w:rsidRPr="002A023E">
        <w:t xml:space="preserve">These cross-cutting actions </w:t>
      </w:r>
      <w:r w:rsidR="002A023E" w:rsidRPr="7CB5384F">
        <w:rPr>
          <w:b/>
          <w:bCs/>
          <w:u w:val="single"/>
        </w:rPr>
        <w:t>complement</w:t>
      </w:r>
      <w:r w:rsidR="002A023E" w:rsidRPr="49D664D1">
        <w:rPr>
          <w:b/>
          <w:bCs/>
        </w:rPr>
        <w:t xml:space="preserve"> the </w:t>
      </w:r>
      <w:commentRangeStart w:id="0"/>
      <w:r w:rsidR="002A023E" w:rsidRPr="49D664D1">
        <w:rPr>
          <w:b/>
          <w:bCs/>
        </w:rPr>
        <w:t>sector-specific essential actions</w:t>
      </w:r>
      <w:commentRangeEnd w:id="0"/>
      <w:r w:rsidR="002A023E" w:rsidRPr="002A023E">
        <w:rPr>
          <w:rStyle w:val="CommentReference"/>
          <w:sz w:val="24"/>
          <w:szCs w:val="24"/>
        </w:rPr>
        <w:commentReference w:id="0"/>
      </w:r>
      <w:r w:rsidR="002A023E" w:rsidRPr="002A023E">
        <w:t xml:space="preserve"> found in the IASC GBV </w:t>
      </w:r>
      <w:r w:rsidR="0043716A" w:rsidRPr="002A023E">
        <w:t xml:space="preserve">Guidelines </w:t>
      </w:r>
      <w:r w:rsidR="31515929">
        <w:t>and in this toolkit</w:t>
      </w:r>
      <w:r w:rsidR="0043716A">
        <w:t xml:space="preserve"> </w:t>
      </w:r>
      <w:r w:rsidR="0043716A" w:rsidRPr="002A023E">
        <w:t>and</w:t>
      </w:r>
      <w:r w:rsidR="002A023E" w:rsidRPr="002A023E">
        <w:t xml:space="preserve"> </w:t>
      </w:r>
      <w:r w:rsidR="002A023E" w:rsidRPr="71D4622F">
        <w:rPr>
          <w:b/>
          <w:bCs/>
        </w:rPr>
        <w:t>should be integrated into programming regardless of technical sector</w:t>
      </w:r>
      <w:r w:rsidR="362E2380" w:rsidRPr="6E4C1585">
        <w:rPr>
          <w:b/>
          <w:bCs/>
        </w:rPr>
        <w:t xml:space="preserve"> </w:t>
      </w:r>
      <w:r w:rsidR="362E2380" w:rsidRPr="2A1BD58B">
        <w:rPr>
          <w:b/>
          <w:bCs/>
        </w:rPr>
        <w:t>or context</w:t>
      </w:r>
      <w:r w:rsidR="002A023E">
        <w:t>.</w:t>
      </w:r>
      <w:r w:rsidR="0043716A">
        <w:t xml:space="preserve"> </w:t>
      </w:r>
    </w:p>
    <w:p w14:paraId="75D86396" w14:textId="31794097" w:rsidR="78B70EF1" w:rsidRDefault="78B70EF1"/>
    <w:p w14:paraId="0A02672E" w14:textId="59D7D92E" w:rsidR="3672E519" w:rsidRDefault="292D8EC0">
      <w:pPr>
        <w:rPr>
          <w:b/>
          <w:bCs/>
        </w:rPr>
      </w:pPr>
      <w:r w:rsidRPr="224B1DDB">
        <w:rPr>
          <w:b/>
          <w:bCs/>
        </w:rPr>
        <w:t>GENERAL GOOD PRACTICE FOR VAWG RISK MITIGATION</w:t>
      </w:r>
    </w:p>
    <w:p w14:paraId="3AF8DDFA" w14:textId="6289F266" w:rsidR="002A023E" w:rsidRPr="003E33EC" w:rsidRDefault="002A023E" w:rsidP="4AAA8A0A">
      <w:pPr>
        <w:pStyle w:val="ListParagraph"/>
        <w:numPr>
          <w:ilvl w:val="0"/>
          <w:numId w:val="1"/>
        </w:numPr>
        <w:ind w:hanging="720"/>
        <w:rPr>
          <w:b/>
          <w:bCs/>
        </w:rPr>
      </w:pPr>
      <w:r w:rsidRPr="003E33EC">
        <w:rPr>
          <w:b/>
          <w:bCs/>
        </w:rPr>
        <w:t>STAFF CAPACITY BUILDING</w:t>
      </w:r>
      <w:commentRangeStart w:id="1"/>
      <w:commentRangeEnd w:id="1"/>
      <w:r w:rsidRPr="003E33EC">
        <w:rPr>
          <w:rStyle w:val="CommentReference"/>
          <w:b/>
          <w:bCs/>
          <w:sz w:val="24"/>
          <w:szCs w:val="24"/>
        </w:rPr>
        <w:commentReference w:id="1"/>
      </w:r>
    </w:p>
    <w:p w14:paraId="75F78DE4" w14:textId="1AA8776C" w:rsidR="002A023E" w:rsidRDefault="002A023E" w:rsidP="3A8DA20E">
      <w:pPr>
        <w:pStyle w:val="ListParagraph"/>
        <w:numPr>
          <w:ilvl w:val="0"/>
          <w:numId w:val="2"/>
        </w:numPr>
        <w:ind w:left="1440"/>
      </w:pPr>
      <w:commentRangeStart w:id="2"/>
      <w:r>
        <w:t>Ensure all program staff complete foundational training on VAWG in Emergencies (specifically covering core concepts, including understanding the drivers and consequences of VAWG and roles and responsibilities of non-VAWG specialists in addressing VAWG risk)</w:t>
      </w:r>
      <w:commentRangeEnd w:id="2"/>
      <w:r w:rsidR="00827CCB">
        <w:rPr>
          <w:rStyle w:val="CommentReference"/>
          <w:sz w:val="24"/>
          <w:szCs w:val="24"/>
        </w:rPr>
        <w:commentReference w:id="2"/>
      </w:r>
    </w:p>
    <w:p w14:paraId="572CEB73" w14:textId="6959EA75" w:rsidR="002A023E" w:rsidRDefault="002A023E" w:rsidP="3A8DA20E">
      <w:pPr>
        <w:pStyle w:val="ListParagraph"/>
        <w:numPr>
          <w:ilvl w:val="0"/>
          <w:numId w:val="2"/>
        </w:numPr>
        <w:ind w:left="1440"/>
      </w:pPr>
      <w:r>
        <w:t xml:space="preserve">Train all staff on how to respond safely and appropriately to VAWG disclosures, </w:t>
      </w:r>
      <w:commentRangeStart w:id="3"/>
      <w:r>
        <w:t xml:space="preserve">using the GBV Pocket Guide approach. </w:t>
      </w:r>
      <w:commentRangeEnd w:id="3"/>
      <w:r w:rsidR="00827CCB">
        <w:rPr>
          <w:rStyle w:val="CommentReference"/>
          <w:sz w:val="24"/>
          <w:szCs w:val="24"/>
        </w:rPr>
        <w:commentReference w:id="3"/>
      </w:r>
    </w:p>
    <w:p w14:paraId="2BAAA05C" w14:textId="2E3A4E53" w:rsidR="002A023E" w:rsidRDefault="002A023E" w:rsidP="3A8DA20E">
      <w:pPr>
        <w:pStyle w:val="ListParagraph"/>
        <w:numPr>
          <w:ilvl w:val="0"/>
          <w:numId w:val="2"/>
        </w:numPr>
        <w:ind w:left="1440"/>
      </w:pPr>
      <w:commentRangeStart w:id="4"/>
      <w:r>
        <w:t xml:space="preserve">Build staff capacity on safe and ethical data collection and information management </w:t>
      </w:r>
      <w:commentRangeEnd w:id="4"/>
      <w:r>
        <w:rPr>
          <w:rStyle w:val="CommentReference"/>
          <w:sz w:val="24"/>
          <w:szCs w:val="24"/>
        </w:rPr>
        <w:commentReference w:id="4"/>
      </w:r>
    </w:p>
    <w:p w14:paraId="3ACFA4E4" w14:textId="69564514" w:rsidR="002A023E" w:rsidRDefault="002A023E" w:rsidP="3A8DA20E">
      <w:pPr>
        <w:pStyle w:val="ListParagraph"/>
        <w:numPr>
          <w:ilvl w:val="0"/>
          <w:numId w:val="2"/>
        </w:numPr>
        <w:ind w:left="1440"/>
      </w:pPr>
      <w:r>
        <w:t xml:space="preserve">Provide ongoing technical assistance and support on VAWG risk mitigation strategies relevant to your sector and program activities. The global Women and Girls in Emergencies team is staffed with VAWG risk mitigation experts that are here to support. </w:t>
      </w:r>
    </w:p>
    <w:p w14:paraId="30953BD8" w14:textId="77777777" w:rsidR="002A023E" w:rsidRDefault="002A023E" w:rsidP="002A023E"/>
    <w:p w14:paraId="78F17BA1" w14:textId="1A150833" w:rsidR="002A023E" w:rsidRPr="003E33EC" w:rsidRDefault="002A023E" w:rsidP="4AAA8A0A">
      <w:pPr>
        <w:pStyle w:val="ListParagraph"/>
        <w:numPr>
          <w:ilvl w:val="0"/>
          <w:numId w:val="1"/>
        </w:numPr>
        <w:ind w:hanging="720"/>
        <w:rPr>
          <w:b/>
          <w:bCs/>
        </w:rPr>
      </w:pPr>
      <w:r w:rsidRPr="003E33EC">
        <w:rPr>
          <w:b/>
          <w:bCs/>
        </w:rPr>
        <w:t>MEANINGFUL CONSULTATION AND PARTICIPATION</w:t>
      </w:r>
    </w:p>
    <w:p w14:paraId="6FF4D7A5" w14:textId="7D63D82E" w:rsidR="002A023E" w:rsidRDefault="002A023E" w:rsidP="0CDE925C">
      <w:pPr>
        <w:pStyle w:val="ListParagraph"/>
        <w:numPr>
          <w:ilvl w:val="0"/>
          <w:numId w:val="2"/>
        </w:numPr>
        <w:ind w:left="1440"/>
      </w:pPr>
      <w:r>
        <w:t xml:space="preserve">Conduct regular consultations with women, girls, and other vulnerable groups throughout the program cycle. For example, </w:t>
      </w:r>
    </w:p>
    <w:p w14:paraId="35AB7F5D" w14:textId="7743FC33" w:rsidR="002A023E" w:rsidRDefault="002A023E" w:rsidP="6B4288A0">
      <w:pPr>
        <w:pStyle w:val="ListParagraph"/>
        <w:numPr>
          <w:ilvl w:val="1"/>
          <w:numId w:val="2"/>
        </w:numPr>
        <w:ind w:left="2790" w:hanging="630"/>
      </w:pPr>
      <w:r>
        <w:t>During assessments to understand risks and barriers</w:t>
      </w:r>
    </w:p>
    <w:p w14:paraId="58AD074A" w14:textId="4DBF8E6D" w:rsidR="002A023E" w:rsidRDefault="002A023E" w:rsidP="6B4288A0">
      <w:pPr>
        <w:pStyle w:val="ListParagraph"/>
        <w:numPr>
          <w:ilvl w:val="1"/>
          <w:numId w:val="2"/>
        </w:numPr>
        <w:ind w:left="2790" w:hanging="630"/>
      </w:pPr>
      <w:r>
        <w:t>During program design to ensure that services meet their needs and preferences</w:t>
      </w:r>
    </w:p>
    <w:p w14:paraId="257E79FC" w14:textId="77777777" w:rsidR="00AA0C2D" w:rsidRDefault="00AA0C2D" w:rsidP="6B4288A0">
      <w:pPr>
        <w:pStyle w:val="ListParagraph"/>
        <w:numPr>
          <w:ilvl w:val="1"/>
          <w:numId w:val="2"/>
        </w:numPr>
        <w:ind w:left="2790" w:hanging="630"/>
      </w:pPr>
      <w:r>
        <w:t>During implementation to monitor safety and accessibility</w:t>
      </w:r>
    </w:p>
    <w:p w14:paraId="001A7D69" w14:textId="77777777" w:rsidR="00AA0C2D" w:rsidRDefault="00AA0C2D" w:rsidP="6B4288A0">
      <w:pPr>
        <w:pStyle w:val="ListParagraph"/>
        <w:numPr>
          <w:ilvl w:val="1"/>
          <w:numId w:val="2"/>
        </w:numPr>
        <w:ind w:left="2790" w:hanging="630"/>
      </w:pPr>
      <w:r>
        <w:t>During evaluation to understand outcomes and impact</w:t>
      </w:r>
    </w:p>
    <w:p w14:paraId="15EE6198" w14:textId="3A533401" w:rsidR="00827CCB" w:rsidRPr="009509AF" w:rsidRDefault="009509AF" w:rsidP="3DAD84F5">
      <w:pPr>
        <w:ind w:left="720"/>
        <w:rPr>
          <w:i/>
          <w:iCs/>
        </w:rPr>
      </w:pPr>
      <w:commentRangeStart w:id="5"/>
      <w:r>
        <w:rPr>
          <w:i/>
          <w:iCs/>
        </w:rPr>
        <w:t xml:space="preserve">See safe and ethical consultations with women and girls tipsheet here. </w:t>
      </w:r>
      <w:commentRangeEnd w:id="5"/>
      <w:r w:rsidRPr="009509AF">
        <w:rPr>
          <w:rStyle w:val="CommentReference"/>
          <w:i/>
          <w:iCs/>
          <w:sz w:val="24"/>
          <w:szCs w:val="24"/>
        </w:rPr>
        <w:commentReference w:id="5"/>
      </w:r>
    </w:p>
    <w:p w14:paraId="5D947118" w14:textId="77777777" w:rsidR="007F3C1C" w:rsidRPr="007F3C1C" w:rsidRDefault="007F3C1C" w:rsidP="5D0ED4E8">
      <w:pPr>
        <w:pStyle w:val="ListParagraph"/>
        <w:numPr>
          <w:ilvl w:val="0"/>
          <w:numId w:val="2"/>
        </w:numPr>
        <w:ind w:left="1440"/>
      </w:pPr>
      <w:r w:rsidRPr="007F3C1C">
        <w:t>Use participatory methodologies that create safe spaces for women and girls to share concerns, including:</w:t>
      </w:r>
    </w:p>
    <w:p w14:paraId="6056ED65" w14:textId="77777777" w:rsidR="00B00E7A" w:rsidRDefault="00B00E7A" w:rsidP="0F0CD662">
      <w:pPr>
        <w:pStyle w:val="ListParagraph"/>
        <w:numPr>
          <w:ilvl w:val="1"/>
          <w:numId w:val="2"/>
        </w:numPr>
        <w:ind w:left="2790" w:hanging="810"/>
      </w:pPr>
      <w:commentRangeStart w:id="6"/>
      <w:r>
        <w:t xml:space="preserve">Focus group discussions (FGDs) </w:t>
      </w:r>
      <w:commentRangeEnd w:id="6"/>
      <w:r>
        <w:rPr>
          <w:rStyle w:val="CommentReference"/>
          <w:sz w:val="24"/>
          <w:szCs w:val="24"/>
        </w:rPr>
        <w:commentReference w:id="6"/>
      </w:r>
      <w:r>
        <w:t>with separate groups for women, adolescent girls, and other vulnerable populations</w:t>
      </w:r>
    </w:p>
    <w:p w14:paraId="01DE1E3A" w14:textId="77777777" w:rsidR="00B00E7A" w:rsidRDefault="00B00E7A" w:rsidP="0F0CD662">
      <w:pPr>
        <w:pStyle w:val="ListParagraph"/>
        <w:numPr>
          <w:ilvl w:val="1"/>
          <w:numId w:val="2"/>
        </w:numPr>
        <w:ind w:left="2790" w:hanging="810"/>
      </w:pPr>
      <w:commentRangeStart w:id="7"/>
      <w:r>
        <w:t xml:space="preserve">Safety audits </w:t>
      </w:r>
      <w:commentRangeEnd w:id="7"/>
      <w:r>
        <w:rPr>
          <w:rStyle w:val="CommentReference"/>
          <w:sz w:val="24"/>
          <w:szCs w:val="24"/>
        </w:rPr>
        <w:commentReference w:id="7"/>
      </w:r>
      <w:r>
        <w:t>conducted by and with women and girls</w:t>
      </w:r>
    </w:p>
    <w:p w14:paraId="413A4514" w14:textId="7C79BFCB" w:rsidR="00B00E7A" w:rsidRDefault="00B00E7A" w:rsidP="0F0CD662">
      <w:pPr>
        <w:pStyle w:val="ListParagraph"/>
        <w:numPr>
          <w:ilvl w:val="1"/>
          <w:numId w:val="2"/>
        </w:numPr>
        <w:ind w:left="2790" w:hanging="810"/>
      </w:pPr>
      <w:commentRangeStart w:id="8"/>
      <w:r>
        <w:t>Key informant interviews</w:t>
      </w:r>
      <w:commentRangeEnd w:id="8"/>
      <w:r>
        <w:rPr>
          <w:rStyle w:val="CommentReference"/>
          <w:sz w:val="24"/>
          <w:szCs w:val="24"/>
        </w:rPr>
        <w:commentReference w:id="8"/>
      </w:r>
      <w:r>
        <w:t xml:space="preserve"> with female community leaders and representatives</w:t>
      </w:r>
    </w:p>
    <w:p w14:paraId="5963D478" w14:textId="77777777" w:rsidR="00ED3AAA" w:rsidRPr="00ED3AAA" w:rsidRDefault="00ED3AAA" w:rsidP="36121575">
      <w:pPr>
        <w:pStyle w:val="ListParagraph"/>
        <w:numPr>
          <w:ilvl w:val="0"/>
          <w:numId w:val="2"/>
        </w:numPr>
        <w:ind w:left="1440"/>
      </w:pPr>
      <w:r w:rsidRPr="00ED3AAA">
        <w:t>Ensure consultation processes themselves are safe and ethical:</w:t>
      </w:r>
    </w:p>
    <w:p w14:paraId="6A3674E9" w14:textId="77777777" w:rsidR="002222E9" w:rsidRDefault="002222E9" w:rsidP="0561F1B9">
      <w:pPr>
        <w:pStyle w:val="ListParagraph"/>
        <w:numPr>
          <w:ilvl w:val="1"/>
          <w:numId w:val="2"/>
        </w:numPr>
        <w:ind w:left="2790" w:hanging="810"/>
      </w:pPr>
      <w:r>
        <w:t>Use trained female facilitators where culturally appropriate</w:t>
      </w:r>
    </w:p>
    <w:p w14:paraId="462FF599" w14:textId="77777777" w:rsidR="002222E9" w:rsidRDefault="002222E9" w:rsidP="0561F1B9">
      <w:pPr>
        <w:pStyle w:val="ListParagraph"/>
        <w:numPr>
          <w:ilvl w:val="1"/>
          <w:numId w:val="2"/>
        </w:numPr>
        <w:ind w:left="2790" w:hanging="810"/>
      </w:pPr>
      <w:r>
        <w:t>Hold consultations in safe, private locations</w:t>
      </w:r>
    </w:p>
    <w:p w14:paraId="38EDB816" w14:textId="77777777" w:rsidR="002222E9" w:rsidRDefault="002222E9" w:rsidP="0561F1B9">
      <w:pPr>
        <w:pStyle w:val="ListParagraph"/>
        <w:numPr>
          <w:ilvl w:val="1"/>
          <w:numId w:val="2"/>
        </w:numPr>
        <w:ind w:left="2790" w:hanging="810"/>
      </w:pPr>
      <w:r>
        <w:t>Schedule at times that work for women and girls</w:t>
      </w:r>
    </w:p>
    <w:p w14:paraId="12BC051A" w14:textId="077F6A3D" w:rsidR="002222E9" w:rsidRDefault="002222E9" w:rsidP="0561F1B9">
      <w:pPr>
        <w:pStyle w:val="ListParagraph"/>
        <w:numPr>
          <w:ilvl w:val="1"/>
          <w:numId w:val="2"/>
        </w:numPr>
        <w:ind w:left="2790" w:hanging="810"/>
      </w:pPr>
      <w:r>
        <w:t>Provide childcare support if needed/possible</w:t>
      </w:r>
    </w:p>
    <w:p w14:paraId="4EF10B01" w14:textId="0E5683C7" w:rsidR="00AA0C2D" w:rsidRDefault="002222E9" w:rsidP="0561F1B9">
      <w:pPr>
        <w:pStyle w:val="ListParagraph"/>
        <w:numPr>
          <w:ilvl w:val="1"/>
          <w:numId w:val="2"/>
        </w:numPr>
        <w:ind w:left="2790" w:hanging="810"/>
      </w:pPr>
      <w:r>
        <w:t>Consider transportation or other access needs</w:t>
      </w:r>
    </w:p>
    <w:p w14:paraId="764941C4" w14:textId="77777777" w:rsidR="0069716F" w:rsidRPr="0069716F" w:rsidRDefault="0069716F" w:rsidP="66EDCC8E">
      <w:pPr>
        <w:pStyle w:val="ListParagraph"/>
        <w:numPr>
          <w:ilvl w:val="0"/>
          <w:numId w:val="2"/>
        </w:numPr>
        <w:ind w:left="1440"/>
      </w:pPr>
      <w:r w:rsidRPr="0069716F">
        <w:t>Integrate feedback from consultations directly into program design, implementation and course corrections</w:t>
      </w:r>
    </w:p>
    <w:p w14:paraId="449AD180" w14:textId="77777777" w:rsidR="0069716F" w:rsidRDefault="0069716F" w:rsidP="0069716F"/>
    <w:p w14:paraId="63639CED" w14:textId="5ECE04A8" w:rsidR="0069716F" w:rsidRPr="003E33EC" w:rsidRDefault="0069716F" w:rsidP="4AAA8A0A">
      <w:pPr>
        <w:pStyle w:val="ListParagraph"/>
        <w:numPr>
          <w:ilvl w:val="0"/>
          <w:numId w:val="1"/>
        </w:numPr>
        <w:ind w:hanging="720"/>
        <w:rPr>
          <w:b/>
          <w:bCs/>
        </w:rPr>
      </w:pPr>
      <w:r w:rsidRPr="003E33EC">
        <w:rPr>
          <w:b/>
          <w:bCs/>
        </w:rPr>
        <w:t>SAFE AND INCLUSIVE DATA COLLECTION &amp; ASSESSMENTS</w:t>
      </w:r>
    </w:p>
    <w:p w14:paraId="14987E65" w14:textId="7490B132" w:rsidR="008F102F" w:rsidRPr="008F102F" w:rsidRDefault="008F102F" w:rsidP="2A40E0AA">
      <w:pPr>
        <w:pStyle w:val="ListParagraph"/>
        <w:numPr>
          <w:ilvl w:val="0"/>
          <w:numId w:val="2"/>
        </w:numPr>
        <w:ind w:left="1440"/>
      </w:pPr>
      <w:r>
        <w:t>Recruit/hire</w:t>
      </w:r>
      <w:r w:rsidRPr="008F102F">
        <w:t xml:space="preserve"> female enumerators and data collectors, particularly for</w:t>
      </w:r>
      <w:r>
        <w:t xml:space="preserve"> household surveys, consultations with women and girls, and assessments in culturally sensitive contexts. </w:t>
      </w:r>
    </w:p>
    <w:p w14:paraId="225B05E4" w14:textId="0200A569" w:rsidR="0069716F" w:rsidRDefault="00ED77B3" w:rsidP="2A40E0AA">
      <w:pPr>
        <w:pStyle w:val="ListParagraph"/>
        <w:numPr>
          <w:ilvl w:val="0"/>
          <w:numId w:val="2"/>
        </w:numPr>
        <w:ind w:left="1440"/>
      </w:pPr>
      <w:r w:rsidRPr="00ED77B3">
        <w:t>Disaggregate all data by sex, age, disability and other relevant vulnerability factors to identify</w:t>
      </w:r>
      <w:r>
        <w:t xml:space="preserve"> who is accessing services and who is not, </w:t>
      </w:r>
      <w:r w:rsidR="007C1461">
        <w:t>differential barriers to access, and differential safety concerns</w:t>
      </w:r>
      <w:r w:rsidR="006E7D7A">
        <w:t>.</w:t>
      </w:r>
    </w:p>
    <w:p w14:paraId="050AC07A" w14:textId="511E90D0" w:rsidR="007A1F9C" w:rsidRDefault="006E7D7A" w:rsidP="2A40E0AA">
      <w:pPr>
        <w:pStyle w:val="ListParagraph"/>
        <w:numPr>
          <w:ilvl w:val="0"/>
          <w:numId w:val="2"/>
        </w:numPr>
        <w:ind w:left="1440"/>
      </w:pPr>
      <w:r>
        <w:t>Ensure data collection processes follow safe and ethical standards</w:t>
      </w:r>
      <w:r w:rsidR="000E1918">
        <w:t xml:space="preserve"> </w:t>
      </w:r>
      <w:commentRangeStart w:id="9"/>
      <w:r w:rsidR="000E1918">
        <w:t>(</w:t>
      </w:r>
      <w:r w:rsidR="00A44E7E">
        <w:t>for more information, see handy-tipsheet here)</w:t>
      </w:r>
      <w:commentRangeEnd w:id="9"/>
      <w:r w:rsidR="009509AF">
        <w:rPr>
          <w:rStyle w:val="CommentReference"/>
          <w:sz w:val="24"/>
          <w:szCs w:val="24"/>
        </w:rPr>
        <w:commentReference w:id="9"/>
      </w:r>
    </w:p>
    <w:p w14:paraId="33274D9A" w14:textId="77777777" w:rsidR="00A44E7E" w:rsidRDefault="00A44E7E" w:rsidP="00A44E7E"/>
    <w:p w14:paraId="6AF3D7BF" w14:textId="5F33446C" w:rsidR="00A44E7E" w:rsidRPr="003E33EC" w:rsidRDefault="00A44E7E" w:rsidP="4AAA8A0A">
      <w:pPr>
        <w:pStyle w:val="ListParagraph"/>
        <w:numPr>
          <w:ilvl w:val="0"/>
          <w:numId w:val="1"/>
        </w:numPr>
        <w:ind w:hanging="720"/>
        <w:rPr>
          <w:b/>
          <w:bCs/>
        </w:rPr>
      </w:pPr>
      <w:r w:rsidRPr="003E33EC">
        <w:rPr>
          <w:b/>
          <w:bCs/>
        </w:rPr>
        <w:t>COORDINATION AND REFERRALS</w:t>
      </w:r>
    </w:p>
    <w:p w14:paraId="182CD62A" w14:textId="2FFCD591" w:rsidR="00A44E7E" w:rsidRDefault="00A44E7E" w:rsidP="2A273F5A">
      <w:pPr>
        <w:pStyle w:val="ListParagraph"/>
        <w:numPr>
          <w:ilvl w:val="0"/>
          <w:numId w:val="2"/>
        </w:numPr>
        <w:ind w:left="1440"/>
      </w:pPr>
      <w:r>
        <w:t xml:space="preserve">Know and maintain updated information about the GBV referral pathway in your area of operation (if a GBV referral pathway is not available/has not been established, see guidance in the </w:t>
      </w:r>
      <w:commentRangeStart w:id="10"/>
      <w:r>
        <w:t>GBV Pocket Guide</w:t>
      </w:r>
      <w:commentRangeEnd w:id="10"/>
      <w:r w:rsidR="009509AF">
        <w:rPr>
          <w:rStyle w:val="CommentReference"/>
          <w:sz w:val="24"/>
          <w:szCs w:val="24"/>
        </w:rPr>
        <w:commentReference w:id="10"/>
      </w:r>
      <w:r w:rsidR="00D72E78">
        <w:t>, a tool specifically designed to support non-GBV specialized actors in areas where a GBV referral pathway does not exist</w:t>
      </w:r>
      <w:r>
        <w:t>)</w:t>
      </w:r>
      <w:r w:rsidR="00CB628A">
        <w:t>.</w:t>
      </w:r>
    </w:p>
    <w:p w14:paraId="189D50AE" w14:textId="7596A6DF" w:rsidR="00CB628A" w:rsidRDefault="00CB628A" w:rsidP="2A273F5A">
      <w:pPr>
        <w:pStyle w:val="ListParagraph"/>
        <w:numPr>
          <w:ilvl w:val="0"/>
          <w:numId w:val="2"/>
        </w:numPr>
        <w:ind w:left="1440"/>
      </w:pPr>
      <w:r>
        <w:t xml:space="preserve">Establish relationships and coordinate regularly with VAWG service providers. </w:t>
      </w:r>
    </w:p>
    <w:p w14:paraId="0721257F" w14:textId="207A1257" w:rsidR="00CB628A" w:rsidRDefault="00CB628A" w:rsidP="494F78EB">
      <w:pPr>
        <w:pStyle w:val="ListParagraph"/>
        <w:numPr>
          <w:ilvl w:val="1"/>
          <w:numId w:val="2"/>
        </w:numPr>
        <w:ind w:left="2880" w:hanging="900"/>
      </w:pPr>
      <w:r>
        <w:t>Consult with VAWG service providers during program design</w:t>
      </w:r>
    </w:p>
    <w:p w14:paraId="52CAA01A" w14:textId="6AAAB97F" w:rsidR="00CB628A" w:rsidRDefault="00CB628A" w:rsidP="494F78EB">
      <w:pPr>
        <w:pStyle w:val="ListParagraph"/>
        <w:numPr>
          <w:ilvl w:val="1"/>
          <w:numId w:val="2"/>
        </w:numPr>
        <w:ind w:left="2880" w:hanging="900"/>
      </w:pPr>
      <w:r>
        <w:t xml:space="preserve">Request support for staff capacity building on VAWG risk mitigation </w:t>
      </w:r>
      <w:r w:rsidR="00D419DC">
        <w:t>where needed</w:t>
      </w:r>
    </w:p>
    <w:p w14:paraId="073413CD" w14:textId="414760C9" w:rsidR="00D419DC" w:rsidRDefault="00D419DC" w:rsidP="494F78EB">
      <w:pPr>
        <w:pStyle w:val="ListParagraph"/>
        <w:numPr>
          <w:ilvl w:val="1"/>
          <w:numId w:val="2"/>
        </w:numPr>
        <w:ind w:left="2880" w:hanging="900"/>
      </w:pPr>
      <w:r>
        <w:t>Coordinate on VAWG risk mitigation strategies</w:t>
      </w:r>
    </w:p>
    <w:p w14:paraId="6AAFE22E" w14:textId="77777777" w:rsidR="00D419DC" w:rsidRDefault="00D419DC" w:rsidP="00D419DC"/>
    <w:p w14:paraId="1E8FB645" w14:textId="1BEBC28B" w:rsidR="00D419DC" w:rsidRPr="003E33EC" w:rsidRDefault="00D419DC" w:rsidP="4AAA8A0A">
      <w:pPr>
        <w:pStyle w:val="ListParagraph"/>
        <w:numPr>
          <w:ilvl w:val="0"/>
          <w:numId w:val="1"/>
        </w:numPr>
        <w:ind w:hanging="720"/>
        <w:rPr>
          <w:b/>
          <w:bCs/>
        </w:rPr>
      </w:pPr>
      <w:r w:rsidRPr="003E33EC">
        <w:rPr>
          <w:b/>
          <w:bCs/>
        </w:rPr>
        <w:t>ORGANIZATIONAL POLICIES</w:t>
      </w:r>
    </w:p>
    <w:p w14:paraId="5D3D6971" w14:textId="035E7909" w:rsidR="00C2183C" w:rsidRDefault="00C2183C" w:rsidP="135C9AD1">
      <w:pPr>
        <w:pStyle w:val="ListParagraph"/>
        <w:numPr>
          <w:ilvl w:val="0"/>
          <w:numId w:val="2"/>
        </w:numPr>
        <w:ind w:left="1440"/>
      </w:pPr>
      <w:r>
        <w:t>E</w:t>
      </w:r>
      <w:r w:rsidRPr="00C2183C">
        <w:t xml:space="preserve">nforce </w:t>
      </w:r>
      <w:r>
        <w:t>CARE’s</w:t>
      </w:r>
      <w:r w:rsidRPr="00C2183C">
        <w:t xml:space="preserve"> zero-tolerance policy on sexual exploitation and abuse (SEA)</w:t>
      </w:r>
      <w:r>
        <w:t xml:space="preserve">. </w:t>
      </w:r>
    </w:p>
    <w:p w14:paraId="0AE14E7E" w14:textId="77777777" w:rsidR="00854275" w:rsidRDefault="00854275" w:rsidP="135C9AD1">
      <w:pPr>
        <w:pStyle w:val="ListParagraph"/>
        <w:numPr>
          <w:ilvl w:val="0"/>
          <w:numId w:val="2"/>
        </w:numPr>
        <w:ind w:left="1440"/>
      </w:pPr>
      <w:r>
        <w:t xml:space="preserve">Advocate for integration of VAWG risk mitigation into proposals, humanitarian response plans, and national policies. </w:t>
      </w:r>
    </w:p>
    <w:p w14:paraId="45146757" w14:textId="58D1FCEF" w:rsidR="00854275" w:rsidRDefault="00854275" w:rsidP="135C9AD1">
      <w:pPr>
        <w:pStyle w:val="ListParagraph"/>
        <w:numPr>
          <w:ilvl w:val="0"/>
          <w:numId w:val="2"/>
        </w:numPr>
        <w:ind w:left="1440"/>
      </w:pPr>
      <w:r>
        <w:t>Allocate appropriate budget for VAWG risk mitigation activities including staff capacity building, consultations with women and girls, safety features in facility design, female staffing, and monitoring and evaluation.</w:t>
      </w:r>
    </w:p>
    <w:p w14:paraId="3712BF25" w14:textId="77777777" w:rsidR="00854275" w:rsidRDefault="00854275" w:rsidP="00854275"/>
    <w:p w14:paraId="0A192AE7" w14:textId="2131B55A" w:rsidR="009E0D4E" w:rsidRPr="003E33EC" w:rsidRDefault="009E0D4E" w:rsidP="00854275">
      <w:pPr>
        <w:rPr>
          <w:b/>
          <w:bCs/>
        </w:rPr>
      </w:pPr>
      <w:r w:rsidRPr="003E33EC">
        <w:rPr>
          <w:b/>
          <w:bCs/>
        </w:rPr>
        <w:t>REMEMBER!</w:t>
      </w:r>
    </w:p>
    <w:p w14:paraId="73DED6F3" w14:textId="7A37D7B6" w:rsidR="00854275" w:rsidRDefault="009E0D4E" w:rsidP="00854275">
      <w:r w:rsidRPr="009E0D4E">
        <w:t>Risk mitigation is not additional work – it is good programming. Ensuring your programs are safe and accessible to all, including the most vulnerable, should result not only in safer programming overall, but also in better sector-specific outcomes.</w:t>
      </w:r>
    </w:p>
    <w:p w14:paraId="7CB8C788" w14:textId="77777777" w:rsidR="00F81A5B" w:rsidRDefault="00F81A5B" w:rsidP="00854275"/>
    <w:p w14:paraId="2E0CCE55" w14:textId="77777777" w:rsidR="003E33EC" w:rsidRDefault="003E33EC" w:rsidP="00854275"/>
    <w:p w14:paraId="75147D27" w14:textId="77777777" w:rsidR="003E33EC" w:rsidRDefault="003E33EC" w:rsidP="003E33EC">
      <w:r>
        <w:t>For questions or support, contact CARE's Women &amp; Girls in Emergencies Team:</w:t>
      </w:r>
    </w:p>
    <w:p w14:paraId="4B7F0076" w14:textId="1A7C2E82" w:rsidR="009509AF" w:rsidRDefault="003E33EC" w:rsidP="009509AF">
      <w:pPr>
        <w:pStyle w:val="ListParagraph"/>
        <w:numPr>
          <w:ilvl w:val="0"/>
          <w:numId w:val="2"/>
        </w:numPr>
      </w:pPr>
      <w:r>
        <w:t xml:space="preserve">Erin Patrick, Director of VAWGiE: </w:t>
      </w:r>
      <w:hyperlink r:id="rId9" w:history="1">
        <w:r w:rsidR="009509AF" w:rsidRPr="00B73AD9">
          <w:rPr>
            <w:rStyle w:val="Hyperlink"/>
          </w:rPr>
          <w:t>erin.patrick@care.org</w:t>
        </w:r>
      </w:hyperlink>
    </w:p>
    <w:p w14:paraId="0C0155DC" w14:textId="615D186D" w:rsidR="003E33EC" w:rsidRDefault="003E33EC" w:rsidP="009509AF">
      <w:pPr>
        <w:pStyle w:val="ListParagraph"/>
        <w:numPr>
          <w:ilvl w:val="0"/>
          <w:numId w:val="2"/>
        </w:numPr>
      </w:pPr>
      <w:r>
        <w:t>Dina Hanania, VAWGiE Advisor: dina.hanania@care.org</w:t>
      </w:r>
    </w:p>
    <w:p w14:paraId="562B2BA3" w14:textId="77777777" w:rsidR="00CB628A" w:rsidRDefault="00CB628A" w:rsidP="00CB628A">
      <w:pPr>
        <w:pStyle w:val="ListParagraph"/>
        <w:ind w:left="1080"/>
      </w:pPr>
    </w:p>
    <w:sectPr w:rsidR="00CB628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n Patrick" w:date="2025-11-07T10:28:00Z" w:initials="EP">
    <w:p w14:paraId="0EEAF41D" w14:textId="321EEC29" w:rsidR="00B86FFF" w:rsidRDefault="00B86FFF">
      <w:pPr>
        <w:pStyle w:val="CommentText"/>
      </w:pPr>
      <w:r>
        <w:rPr>
          <w:rStyle w:val="CommentReference"/>
        </w:rPr>
        <w:annotationRef/>
      </w:r>
      <w:r w:rsidRPr="4DCFCD09">
        <w:t>LINK</w:t>
      </w:r>
    </w:p>
  </w:comment>
  <w:comment w:id="1" w:author="Erin Patrick" w:date="2025-11-07T10:38:00Z" w:initials="EP">
    <w:p w14:paraId="7F096138" w14:textId="2D5C1672" w:rsidR="00B86FFF" w:rsidRDefault="00B86FFF">
      <w:pPr>
        <w:pStyle w:val="CommentText"/>
      </w:pPr>
      <w:r>
        <w:rPr>
          <w:rStyle w:val="CommentReference"/>
        </w:rPr>
        <w:annotationRef/>
      </w:r>
      <w:r w:rsidRPr="649A3CD5">
        <w:t>I've decided to add a new section to the overall TK on cap building, so we can link to that here as well</w:t>
      </w:r>
    </w:p>
  </w:comment>
  <w:comment w:id="2" w:author="Dina Hanania" w:date="2025-11-07T10:24:00Z" w:initials="DH">
    <w:p w14:paraId="5D7553DD" w14:textId="77777777" w:rsidR="00827CCB" w:rsidRDefault="00827CCB" w:rsidP="00827CCB">
      <w:r>
        <w:rPr>
          <w:rStyle w:val="CommentReference"/>
        </w:rPr>
        <w:annotationRef/>
      </w:r>
      <w:r>
        <w:rPr>
          <w:sz w:val="20"/>
          <w:szCs w:val="20"/>
        </w:rPr>
        <w:t>LINK</w:t>
      </w:r>
    </w:p>
  </w:comment>
  <w:comment w:id="3" w:author="Dina Hanania" w:date="2025-11-07T10:24:00Z" w:initials="DH">
    <w:p w14:paraId="41A83682" w14:textId="77777777" w:rsidR="00827CCB" w:rsidRDefault="00827CCB" w:rsidP="00827CCB">
      <w:r>
        <w:rPr>
          <w:rStyle w:val="CommentReference"/>
        </w:rPr>
        <w:annotationRef/>
      </w:r>
      <w:r>
        <w:rPr>
          <w:sz w:val="20"/>
          <w:szCs w:val="20"/>
        </w:rPr>
        <w:t>LINK</w:t>
      </w:r>
    </w:p>
  </w:comment>
  <w:comment w:id="4" w:author="Erin Patrick" w:date="2025-11-07T10:37:00Z" w:initials="EP">
    <w:p w14:paraId="07579FC0" w14:textId="2B61DB1D" w:rsidR="00B86FFF" w:rsidRDefault="00B86FFF">
      <w:pPr>
        <w:pStyle w:val="CommentText"/>
      </w:pPr>
      <w:r>
        <w:rPr>
          <w:rStyle w:val="CommentReference"/>
        </w:rPr>
        <w:annotationRef/>
      </w:r>
      <w:r w:rsidRPr="3D5FCDFD">
        <w:t>Link to tipsheet on saking safety related Qs</w:t>
      </w:r>
    </w:p>
    <w:p w14:paraId="42582985" w14:textId="5A6F9DEC" w:rsidR="00B86FFF" w:rsidRDefault="00B86FFF">
      <w:pPr>
        <w:pStyle w:val="CommentText"/>
      </w:pPr>
      <w:r w:rsidRPr="1BA6FB83">
        <w:t>Occurs to me we might want to eventually add a super brief training on this as well, or link to something that may already exist. Vaguely remember gretchen and heather were working on something at some point...</w:t>
      </w:r>
    </w:p>
  </w:comment>
  <w:comment w:id="5" w:author="Dina Hanania" w:date="2025-11-07T10:25:00Z" w:initials="DH">
    <w:p w14:paraId="24FEE22E" w14:textId="77777777" w:rsidR="009509AF" w:rsidRDefault="009509AF" w:rsidP="009509AF">
      <w:r>
        <w:rPr>
          <w:rStyle w:val="CommentReference"/>
        </w:rPr>
        <w:annotationRef/>
      </w:r>
      <w:r>
        <w:rPr>
          <w:sz w:val="20"/>
          <w:szCs w:val="20"/>
        </w:rPr>
        <w:t>LINK</w:t>
      </w:r>
    </w:p>
  </w:comment>
  <w:comment w:id="6" w:author="Erin Patrick" w:date="2025-11-07T10:39:00Z" w:initials="EP">
    <w:p w14:paraId="156D5E65" w14:textId="7881E7B4" w:rsidR="00B86FFF" w:rsidRDefault="00B86FFF">
      <w:pPr>
        <w:pStyle w:val="CommentText"/>
      </w:pPr>
      <w:r>
        <w:rPr>
          <w:rStyle w:val="CommentReference"/>
        </w:rPr>
        <w:annotationRef/>
      </w:r>
      <w:r w:rsidRPr="17F8EAF4">
        <w:t>link</w:t>
      </w:r>
    </w:p>
  </w:comment>
  <w:comment w:id="7" w:author="Erin Patrick" w:date="2025-11-07T10:39:00Z" w:initials="EP">
    <w:p w14:paraId="6B00DF7C" w14:textId="61ECECDC" w:rsidR="00B86FFF" w:rsidRDefault="00B86FFF">
      <w:pPr>
        <w:pStyle w:val="CommentText"/>
      </w:pPr>
      <w:r>
        <w:rPr>
          <w:rStyle w:val="CommentReference"/>
        </w:rPr>
        <w:annotationRef/>
      </w:r>
      <w:r w:rsidRPr="14ED3EBA">
        <w:t>link</w:t>
      </w:r>
    </w:p>
  </w:comment>
  <w:comment w:id="8" w:author="Erin Patrick" w:date="2025-11-07T10:39:00Z" w:initials="EP">
    <w:p w14:paraId="1D6BE5CB" w14:textId="71E6A5AE" w:rsidR="00B86FFF" w:rsidRDefault="00B86FFF">
      <w:pPr>
        <w:pStyle w:val="CommentText"/>
      </w:pPr>
      <w:r>
        <w:rPr>
          <w:rStyle w:val="CommentReference"/>
        </w:rPr>
        <w:annotationRef/>
      </w:r>
      <w:r w:rsidRPr="465F5922">
        <w:t>link</w:t>
      </w:r>
    </w:p>
  </w:comment>
  <w:comment w:id="9" w:author="Dina Hanania" w:date="2025-11-07T10:26:00Z" w:initials="DH">
    <w:p w14:paraId="5D6F45E5" w14:textId="77777777" w:rsidR="009509AF" w:rsidRDefault="009509AF" w:rsidP="009509AF">
      <w:r>
        <w:rPr>
          <w:rStyle w:val="CommentReference"/>
        </w:rPr>
        <w:annotationRef/>
      </w:r>
      <w:r>
        <w:rPr>
          <w:sz w:val="20"/>
          <w:szCs w:val="20"/>
        </w:rPr>
        <w:t>LINK</w:t>
      </w:r>
    </w:p>
  </w:comment>
  <w:comment w:id="10" w:author="Dina Hanania" w:date="2025-11-07T10:26:00Z" w:initials="DH">
    <w:p w14:paraId="0D7E4AAF" w14:textId="77777777" w:rsidR="009509AF" w:rsidRDefault="009509AF" w:rsidP="009509AF">
      <w:r>
        <w:rPr>
          <w:rStyle w:val="CommentReference"/>
        </w:rPr>
        <w:annotationRef/>
      </w:r>
      <w:r>
        <w:rPr>
          <w:sz w:val="20"/>
          <w:szCs w:val="20"/>
        </w:rPr>
        <w:t>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EAF41D" w15:done="0"/>
  <w15:commentEx w15:paraId="7F096138" w15:done="0"/>
  <w15:commentEx w15:paraId="5D7553DD" w15:done="0"/>
  <w15:commentEx w15:paraId="41A83682" w15:done="0"/>
  <w15:commentEx w15:paraId="42582985" w15:done="0"/>
  <w15:commentEx w15:paraId="24FEE22E" w15:done="0"/>
  <w15:commentEx w15:paraId="156D5E65" w15:done="0"/>
  <w15:commentEx w15:paraId="6B00DF7C" w15:done="0"/>
  <w15:commentEx w15:paraId="1D6BE5CB" w15:done="0"/>
  <w15:commentEx w15:paraId="5D6F45E5" w15:done="0"/>
  <w15:commentEx w15:paraId="0D7E4A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E20190" w16cex:dateUtc="2025-11-07T15:28:00Z"/>
  <w16cex:commentExtensible w16cex:durableId="71EBA114" w16cex:dateUtc="2025-11-07T15:38:00Z"/>
  <w16cex:commentExtensible w16cex:durableId="796ED51E" w16cex:dateUtc="2025-11-07T15:24:00Z"/>
  <w16cex:commentExtensible w16cex:durableId="03263169" w16cex:dateUtc="2025-11-07T15:24:00Z"/>
  <w16cex:commentExtensible w16cex:durableId="1ABE988A" w16cex:dateUtc="2025-11-07T15:37:00Z"/>
  <w16cex:commentExtensible w16cex:durableId="0B1960FB" w16cex:dateUtc="2025-11-07T15:25:00Z"/>
  <w16cex:commentExtensible w16cex:durableId="7B75C1E2" w16cex:dateUtc="2025-11-07T15:39:00Z"/>
  <w16cex:commentExtensible w16cex:durableId="22E1554A" w16cex:dateUtc="2025-11-07T15:39:00Z"/>
  <w16cex:commentExtensible w16cex:durableId="4BCF5DAE" w16cex:dateUtc="2025-11-07T15:39:00Z"/>
  <w16cex:commentExtensible w16cex:durableId="2429CD35" w16cex:dateUtc="2025-11-07T15:26:00Z"/>
  <w16cex:commentExtensible w16cex:durableId="5AB74751" w16cex:dateUtc="2025-11-07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EAF41D" w16cid:durableId="47E20190"/>
  <w16cid:commentId w16cid:paraId="7F096138" w16cid:durableId="71EBA114"/>
  <w16cid:commentId w16cid:paraId="5D7553DD" w16cid:durableId="796ED51E"/>
  <w16cid:commentId w16cid:paraId="41A83682" w16cid:durableId="03263169"/>
  <w16cid:commentId w16cid:paraId="42582985" w16cid:durableId="1ABE988A"/>
  <w16cid:commentId w16cid:paraId="24FEE22E" w16cid:durableId="0B1960FB"/>
  <w16cid:commentId w16cid:paraId="156D5E65" w16cid:durableId="7B75C1E2"/>
  <w16cid:commentId w16cid:paraId="6B00DF7C" w16cid:durableId="22E1554A"/>
  <w16cid:commentId w16cid:paraId="1D6BE5CB" w16cid:durableId="4BCF5DAE"/>
  <w16cid:commentId w16cid:paraId="5D6F45E5" w16cid:durableId="2429CD35"/>
  <w16cid:commentId w16cid:paraId="0D7E4AAF" w16cid:durableId="5AB747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72A7"/>
    <w:multiLevelType w:val="hybridMultilevel"/>
    <w:tmpl w:val="338E5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CD1529"/>
    <w:multiLevelType w:val="hybridMultilevel"/>
    <w:tmpl w:val="431AA23E"/>
    <w:lvl w:ilvl="0" w:tplc="6132437C">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02968">
    <w:abstractNumId w:val="0"/>
  </w:num>
  <w:num w:numId="2" w16cid:durableId="20883787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Patrick">
    <w15:presenceInfo w15:providerId="AD" w15:userId="S::erin.patrick@care.org::c9eae7d6-acf2-44a3-8637-9bf41a4b15db"/>
  </w15:person>
  <w15:person w15:author="Dina Hanania">
    <w15:presenceInfo w15:providerId="AD" w15:userId="S::Dina.Hanania@care.org::785e4b8b-d4d0-407c-86b0-8852e45bb7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3E"/>
    <w:rsid w:val="00002568"/>
    <w:rsid w:val="00002E77"/>
    <w:rsid w:val="00017A42"/>
    <w:rsid w:val="000248B1"/>
    <w:rsid w:val="00030A50"/>
    <w:rsid w:val="000339C9"/>
    <w:rsid w:val="00034176"/>
    <w:rsid w:val="0006244E"/>
    <w:rsid w:val="000641CC"/>
    <w:rsid w:val="00065A3E"/>
    <w:rsid w:val="00086375"/>
    <w:rsid w:val="0009403A"/>
    <w:rsid w:val="000A1E3A"/>
    <w:rsid w:val="000B30D2"/>
    <w:rsid w:val="000C2761"/>
    <w:rsid w:val="000D21D9"/>
    <w:rsid w:val="000D2D6B"/>
    <w:rsid w:val="000D7F39"/>
    <w:rsid w:val="000E1918"/>
    <w:rsid w:val="000E1B67"/>
    <w:rsid w:val="000F0081"/>
    <w:rsid w:val="000F29BE"/>
    <w:rsid w:val="000F51A4"/>
    <w:rsid w:val="000F7CCD"/>
    <w:rsid w:val="00113913"/>
    <w:rsid w:val="001220FE"/>
    <w:rsid w:val="00125FD2"/>
    <w:rsid w:val="00134DE8"/>
    <w:rsid w:val="00142ED1"/>
    <w:rsid w:val="00147812"/>
    <w:rsid w:val="0016312F"/>
    <w:rsid w:val="00181958"/>
    <w:rsid w:val="00183F44"/>
    <w:rsid w:val="00186F4D"/>
    <w:rsid w:val="001919C6"/>
    <w:rsid w:val="00193451"/>
    <w:rsid w:val="001B352E"/>
    <w:rsid w:val="001B683C"/>
    <w:rsid w:val="001C0A05"/>
    <w:rsid w:val="001D1E77"/>
    <w:rsid w:val="001D3199"/>
    <w:rsid w:val="001D659D"/>
    <w:rsid w:val="001D70E0"/>
    <w:rsid w:val="001E2478"/>
    <w:rsid w:val="001E4F8F"/>
    <w:rsid w:val="001E520D"/>
    <w:rsid w:val="00200A61"/>
    <w:rsid w:val="002011D8"/>
    <w:rsid w:val="00203A5E"/>
    <w:rsid w:val="00207154"/>
    <w:rsid w:val="00217CB5"/>
    <w:rsid w:val="002222E9"/>
    <w:rsid w:val="00224384"/>
    <w:rsid w:val="002255CA"/>
    <w:rsid w:val="00226ABC"/>
    <w:rsid w:val="00244342"/>
    <w:rsid w:val="00254FD7"/>
    <w:rsid w:val="00260964"/>
    <w:rsid w:val="00263952"/>
    <w:rsid w:val="002703AA"/>
    <w:rsid w:val="00283FD7"/>
    <w:rsid w:val="0028669D"/>
    <w:rsid w:val="00291639"/>
    <w:rsid w:val="00293E0B"/>
    <w:rsid w:val="00293EA8"/>
    <w:rsid w:val="002A023E"/>
    <w:rsid w:val="002A6167"/>
    <w:rsid w:val="002B73D1"/>
    <w:rsid w:val="002C4404"/>
    <w:rsid w:val="002E28A7"/>
    <w:rsid w:val="002F3A90"/>
    <w:rsid w:val="00307CE1"/>
    <w:rsid w:val="00310467"/>
    <w:rsid w:val="00315EA6"/>
    <w:rsid w:val="003165E4"/>
    <w:rsid w:val="003322AA"/>
    <w:rsid w:val="00334590"/>
    <w:rsid w:val="00337053"/>
    <w:rsid w:val="00341C15"/>
    <w:rsid w:val="00342F4E"/>
    <w:rsid w:val="00345588"/>
    <w:rsid w:val="00345EB8"/>
    <w:rsid w:val="00346A1C"/>
    <w:rsid w:val="0034707A"/>
    <w:rsid w:val="00366EF0"/>
    <w:rsid w:val="003704C1"/>
    <w:rsid w:val="003744AE"/>
    <w:rsid w:val="00381627"/>
    <w:rsid w:val="0038167D"/>
    <w:rsid w:val="00381AAB"/>
    <w:rsid w:val="0039092A"/>
    <w:rsid w:val="00392AE5"/>
    <w:rsid w:val="0039615E"/>
    <w:rsid w:val="003A0686"/>
    <w:rsid w:val="003A3F4F"/>
    <w:rsid w:val="003A46B7"/>
    <w:rsid w:val="003B5181"/>
    <w:rsid w:val="003B7A2A"/>
    <w:rsid w:val="003B7A82"/>
    <w:rsid w:val="003C5735"/>
    <w:rsid w:val="003D16BC"/>
    <w:rsid w:val="003D2A09"/>
    <w:rsid w:val="003D3149"/>
    <w:rsid w:val="003D6AD8"/>
    <w:rsid w:val="003E33EC"/>
    <w:rsid w:val="003E4C3C"/>
    <w:rsid w:val="003E594A"/>
    <w:rsid w:val="003F15F1"/>
    <w:rsid w:val="00405D49"/>
    <w:rsid w:val="00406695"/>
    <w:rsid w:val="004146D0"/>
    <w:rsid w:val="00421341"/>
    <w:rsid w:val="00424B5A"/>
    <w:rsid w:val="00425A43"/>
    <w:rsid w:val="00431A72"/>
    <w:rsid w:val="00431D8F"/>
    <w:rsid w:val="0043716A"/>
    <w:rsid w:val="00442F0C"/>
    <w:rsid w:val="00446A9B"/>
    <w:rsid w:val="00477CCC"/>
    <w:rsid w:val="004905D7"/>
    <w:rsid w:val="00491446"/>
    <w:rsid w:val="00493655"/>
    <w:rsid w:val="0049689A"/>
    <w:rsid w:val="004A1C3B"/>
    <w:rsid w:val="004A3726"/>
    <w:rsid w:val="004D2CA3"/>
    <w:rsid w:val="004D404E"/>
    <w:rsid w:val="004D4F66"/>
    <w:rsid w:val="004D5196"/>
    <w:rsid w:val="004E2646"/>
    <w:rsid w:val="004E6B0B"/>
    <w:rsid w:val="004F07AA"/>
    <w:rsid w:val="004F6A24"/>
    <w:rsid w:val="0050042E"/>
    <w:rsid w:val="00502437"/>
    <w:rsid w:val="0051209F"/>
    <w:rsid w:val="005369ED"/>
    <w:rsid w:val="00547B82"/>
    <w:rsid w:val="00565465"/>
    <w:rsid w:val="0057175C"/>
    <w:rsid w:val="00580AF2"/>
    <w:rsid w:val="00585948"/>
    <w:rsid w:val="0058621B"/>
    <w:rsid w:val="005970AA"/>
    <w:rsid w:val="005C448E"/>
    <w:rsid w:val="005D4149"/>
    <w:rsid w:val="005E6185"/>
    <w:rsid w:val="005F25BA"/>
    <w:rsid w:val="00601112"/>
    <w:rsid w:val="00602102"/>
    <w:rsid w:val="0060438F"/>
    <w:rsid w:val="00621B3B"/>
    <w:rsid w:val="00632B99"/>
    <w:rsid w:val="0064299C"/>
    <w:rsid w:val="00650287"/>
    <w:rsid w:val="006536CE"/>
    <w:rsid w:val="00674835"/>
    <w:rsid w:val="0067697C"/>
    <w:rsid w:val="00677CF6"/>
    <w:rsid w:val="006800BF"/>
    <w:rsid w:val="00680F85"/>
    <w:rsid w:val="006858C9"/>
    <w:rsid w:val="006963D2"/>
    <w:rsid w:val="0069716F"/>
    <w:rsid w:val="006A6764"/>
    <w:rsid w:val="006A7BFE"/>
    <w:rsid w:val="006C5631"/>
    <w:rsid w:val="006D0842"/>
    <w:rsid w:val="006D1994"/>
    <w:rsid w:val="006E62F9"/>
    <w:rsid w:val="006E7D7A"/>
    <w:rsid w:val="006F3FA0"/>
    <w:rsid w:val="007048BE"/>
    <w:rsid w:val="00720C89"/>
    <w:rsid w:val="007241B8"/>
    <w:rsid w:val="0073186F"/>
    <w:rsid w:val="007349D5"/>
    <w:rsid w:val="00740778"/>
    <w:rsid w:val="00741B6F"/>
    <w:rsid w:val="0074540F"/>
    <w:rsid w:val="00752AC1"/>
    <w:rsid w:val="00752C14"/>
    <w:rsid w:val="007542E1"/>
    <w:rsid w:val="00754F5D"/>
    <w:rsid w:val="0077301F"/>
    <w:rsid w:val="007756AB"/>
    <w:rsid w:val="00776731"/>
    <w:rsid w:val="007845BE"/>
    <w:rsid w:val="00795319"/>
    <w:rsid w:val="007A1F9C"/>
    <w:rsid w:val="007A7128"/>
    <w:rsid w:val="007B7240"/>
    <w:rsid w:val="007C0DE5"/>
    <w:rsid w:val="007C1461"/>
    <w:rsid w:val="007C1724"/>
    <w:rsid w:val="007C655C"/>
    <w:rsid w:val="007D37C1"/>
    <w:rsid w:val="007E7401"/>
    <w:rsid w:val="007F3156"/>
    <w:rsid w:val="007F3C1C"/>
    <w:rsid w:val="007F61D5"/>
    <w:rsid w:val="008026FA"/>
    <w:rsid w:val="00804CEF"/>
    <w:rsid w:val="00806C27"/>
    <w:rsid w:val="00816B30"/>
    <w:rsid w:val="00816C58"/>
    <w:rsid w:val="00822B05"/>
    <w:rsid w:val="00824B72"/>
    <w:rsid w:val="00827CCB"/>
    <w:rsid w:val="00830C19"/>
    <w:rsid w:val="00840CFE"/>
    <w:rsid w:val="0084114C"/>
    <w:rsid w:val="00844C97"/>
    <w:rsid w:val="00854275"/>
    <w:rsid w:val="00862163"/>
    <w:rsid w:val="00872C64"/>
    <w:rsid w:val="00887248"/>
    <w:rsid w:val="008872AC"/>
    <w:rsid w:val="00891529"/>
    <w:rsid w:val="008A0BAE"/>
    <w:rsid w:val="008A1423"/>
    <w:rsid w:val="008C0FA0"/>
    <w:rsid w:val="008F102F"/>
    <w:rsid w:val="008F11E5"/>
    <w:rsid w:val="008F2DD8"/>
    <w:rsid w:val="008F3382"/>
    <w:rsid w:val="008F41F6"/>
    <w:rsid w:val="008F4D3B"/>
    <w:rsid w:val="009222CD"/>
    <w:rsid w:val="00925AA1"/>
    <w:rsid w:val="00933DE1"/>
    <w:rsid w:val="009509AF"/>
    <w:rsid w:val="00961EA8"/>
    <w:rsid w:val="009658F9"/>
    <w:rsid w:val="009664DC"/>
    <w:rsid w:val="00971184"/>
    <w:rsid w:val="00987C36"/>
    <w:rsid w:val="00995D4C"/>
    <w:rsid w:val="009B17AF"/>
    <w:rsid w:val="009B7BA5"/>
    <w:rsid w:val="009B7CF5"/>
    <w:rsid w:val="009E0D4E"/>
    <w:rsid w:val="00A021FD"/>
    <w:rsid w:val="00A107E5"/>
    <w:rsid w:val="00A279D9"/>
    <w:rsid w:val="00A35404"/>
    <w:rsid w:val="00A41983"/>
    <w:rsid w:val="00A44E7E"/>
    <w:rsid w:val="00A517E6"/>
    <w:rsid w:val="00A61A50"/>
    <w:rsid w:val="00A62610"/>
    <w:rsid w:val="00A72FC7"/>
    <w:rsid w:val="00A82C8C"/>
    <w:rsid w:val="00A92E01"/>
    <w:rsid w:val="00A940C8"/>
    <w:rsid w:val="00A950A0"/>
    <w:rsid w:val="00AA0C2D"/>
    <w:rsid w:val="00AB7AA8"/>
    <w:rsid w:val="00AE0284"/>
    <w:rsid w:val="00AE2B7B"/>
    <w:rsid w:val="00AE7D41"/>
    <w:rsid w:val="00AF0107"/>
    <w:rsid w:val="00AF25E5"/>
    <w:rsid w:val="00B00E7A"/>
    <w:rsid w:val="00B12FDE"/>
    <w:rsid w:val="00B1335F"/>
    <w:rsid w:val="00B249A6"/>
    <w:rsid w:val="00B25B05"/>
    <w:rsid w:val="00B305DA"/>
    <w:rsid w:val="00B305E0"/>
    <w:rsid w:val="00B3270F"/>
    <w:rsid w:val="00B40BB0"/>
    <w:rsid w:val="00B42C41"/>
    <w:rsid w:val="00B43BB6"/>
    <w:rsid w:val="00B45F0E"/>
    <w:rsid w:val="00B46552"/>
    <w:rsid w:val="00B507F1"/>
    <w:rsid w:val="00B60A13"/>
    <w:rsid w:val="00B7329C"/>
    <w:rsid w:val="00B839AA"/>
    <w:rsid w:val="00B8433E"/>
    <w:rsid w:val="00BB07D5"/>
    <w:rsid w:val="00BD2308"/>
    <w:rsid w:val="00BD3069"/>
    <w:rsid w:val="00C12937"/>
    <w:rsid w:val="00C2183C"/>
    <w:rsid w:val="00C3468A"/>
    <w:rsid w:val="00C4760B"/>
    <w:rsid w:val="00C50003"/>
    <w:rsid w:val="00C554C3"/>
    <w:rsid w:val="00C62E9B"/>
    <w:rsid w:val="00C77F47"/>
    <w:rsid w:val="00CA2ECA"/>
    <w:rsid w:val="00CA3F8A"/>
    <w:rsid w:val="00CA4910"/>
    <w:rsid w:val="00CB0B99"/>
    <w:rsid w:val="00CB628A"/>
    <w:rsid w:val="00CB69FF"/>
    <w:rsid w:val="00CC5A30"/>
    <w:rsid w:val="00CE5585"/>
    <w:rsid w:val="00CF162B"/>
    <w:rsid w:val="00D0650C"/>
    <w:rsid w:val="00D07E96"/>
    <w:rsid w:val="00D2563F"/>
    <w:rsid w:val="00D35F68"/>
    <w:rsid w:val="00D4178C"/>
    <w:rsid w:val="00D419DC"/>
    <w:rsid w:val="00D5130A"/>
    <w:rsid w:val="00D643B4"/>
    <w:rsid w:val="00D6703D"/>
    <w:rsid w:val="00D67D16"/>
    <w:rsid w:val="00D72E78"/>
    <w:rsid w:val="00D74F4F"/>
    <w:rsid w:val="00D916E3"/>
    <w:rsid w:val="00D92689"/>
    <w:rsid w:val="00D942E0"/>
    <w:rsid w:val="00DC0A67"/>
    <w:rsid w:val="00DD2962"/>
    <w:rsid w:val="00DE6A34"/>
    <w:rsid w:val="00DE6F62"/>
    <w:rsid w:val="00DF180B"/>
    <w:rsid w:val="00E0448E"/>
    <w:rsid w:val="00E06BB3"/>
    <w:rsid w:val="00E13421"/>
    <w:rsid w:val="00E21FBE"/>
    <w:rsid w:val="00E359C3"/>
    <w:rsid w:val="00E403CF"/>
    <w:rsid w:val="00E43EFD"/>
    <w:rsid w:val="00E54C9A"/>
    <w:rsid w:val="00E60454"/>
    <w:rsid w:val="00E6302B"/>
    <w:rsid w:val="00E64416"/>
    <w:rsid w:val="00E66ABE"/>
    <w:rsid w:val="00EA2FD9"/>
    <w:rsid w:val="00EC3706"/>
    <w:rsid w:val="00EC63E3"/>
    <w:rsid w:val="00ED3AAA"/>
    <w:rsid w:val="00ED77B3"/>
    <w:rsid w:val="00EF0E42"/>
    <w:rsid w:val="00EF688E"/>
    <w:rsid w:val="00F202B2"/>
    <w:rsid w:val="00F325D6"/>
    <w:rsid w:val="00F429A6"/>
    <w:rsid w:val="00F50370"/>
    <w:rsid w:val="00F521CE"/>
    <w:rsid w:val="00F530B0"/>
    <w:rsid w:val="00F53DBF"/>
    <w:rsid w:val="00F54CD4"/>
    <w:rsid w:val="00F56F2F"/>
    <w:rsid w:val="00F67933"/>
    <w:rsid w:val="00F7710F"/>
    <w:rsid w:val="00F804B7"/>
    <w:rsid w:val="00F81A5B"/>
    <w:rsid w:val="00F932C4"/>
    <w:rsid w:val="00FA1922"/>
    <w:rsid w:val="00FA6BB3"/>
    <w:rsid w:val="00FB3C77"/>
    <w:rsid w:val="00FB63C7"/>
    <w:rsid w:val="00FC4C68"/>
    <w:rsid w:val="00FC5134"/>
    <w:rsid w:val="00FC53FE"/>
    <w:rsid w:val="00FD09A9"/>
    <w:rsid w:val="00FE625E"/>
    <w:rsid w:val="00FF192F"/>
    <w:rsid w:val="00FF2817"/>
    <w:rsid w:val="00FF355C"/>
    <w:rsid w:val="00FF5C27"/>
    <w:rsid w:val="00FF6EF9"/>
    <w:rsid w:val="034E3D2C"/>
    <w:rsid w:val="050CF7B1"/>
    <w:rsid w:val="05151EB7"/>
    <w:rsid w:val="0561F1B9"/>
    <w:rsid w:val="06CA27ED"/>
    <w:rsid w:val="0891E87B"/>
    <w:rsid w:val="09E44BF0"/>
    <w:rsid w:val="0A6555DD"/>
    <w:rsid w:val="0BB0A0C4"/>
    <w:rsid w:val="0BE30275"/>
    <w:rsid w:val="0CDE925C"/>
    <w:rsid w:val="0D157239"/>
    <w:rsid w:val="0F00228C"/>
    <w:rsid w:val="0F0CD662"/>
    <w:rsid w:val="110C5220"/>
    <w:rsid w:val="12ADA412"/>
    <w:rsid w:val="13311F5D"/>
    <w:rsid w:val="135C9AD1"/>
    <w:rsid w:val="1424B1E4"/>
    <w:rsid w:val="1497AD18"/>
    <w:rsid w:val="15983256"/>
    <w:rsid w:val="16669F08"/>
    <w:rsid w:val="16DA634E"/>
    <w:rsid w:val="17A233FD"/>
    <w:rsid w:val="1AFB537A"/>
    <w:rsid w:val="1BFB9033"/>
    <w:rsid w:val="1D79579A"/>
    <w:rsid w:val="1DF785BB"/>
    <w:rsid w:val="1E5160D7"/>
    <w:rsid w:val="1FDB3A16"/>
    <w:rsid w:val="208395A2"/>
    <w:rsid w:val="21447AFF"/>
    <w:rsid w:val="224B1DDB"/>
    <w:rsid w:val="25EC8318"/>
    <w:rsid w:val="26F1AD9D"/>
    <w:rsid w:val="292D8EC0"/>
    <w:rsid w:val="29A7AC33"/>
    <w:rsid w:val="29D9B431"/>
    <w:rsid w:val="2A1BD58B"/>
    <w:rsid w:val="2A273F5A"/>
    <w:rsid w:val="2A394E92"/>
    <w:rsid w:val="2A40E0AA"/>
    <w:rsid w:val="2A94116C"/>
    <w:rsid w:val="2A9A9BC1"/>
    <w:rsid w:val="2AB93B45"/>
    <w:rsid w:val="304F4606"/>
    <w:rsid w:val="3053BFBA"/>
    <w:rsid w:val="30549968"/>
    <w:rsid w:val="31272EA8"/>
    <w:rsid w:val="31515929"/>
    <w:rsid w:val="320861FE"/>
    <w:rsid w:val="322038FC"/>
    <w:rsid w:val="325C3F15"/>
    <w:rsid w:val="327E4A14"/>
    <w:rsid w:val="33A61473"/>
    <w:rsid w:val="36121575"/>
    <w:rsid w:val="362E2380"/>
    <w:rsid w:val="3672E519"/>
    <w:rsid w:val="3695E1E4"/>
    <w:rsid w:val="37475794"/>
    <w:rsid w:val="37E8D7DE"/>
    <w:rsid w:val="393BFCF3"/>
    <w:rsid w:val="39B272C6"/>
    <w:rsid w:val="3A53E787"/>
    <w:rsid w:val="3A8DA20E"/>
    <w:rsid w:val="3AC979CA"/>
    <w:rsid w:val="3AF6BA7A"/>
    <w:rsid w:val="3B425543"/>
    <w:rsid w:val="3BAB3861"/>
    <w:rsid w:val="3C64B853"/>
    <w:rsid w:val="3DAD84F5"/>
    <w:rsid w:val="3E09D2C0"/>
    <w:rsid w:val="3E3E110F"/>
    <w:rsid w:val="3E5A566E"/>
    <w:rsid w:val="3EA6EFDC"/>
    <w:rsid w:val="3F0E9D70"/>
    <w:rsid w:val="3F9D5A96"/>
    <w:rsid w:val="3FF2E6F5"/>
    <w:rsid w:val="402CEC69"/>
    <w:rsid w:val="417D551B"/>
    <w:rsid w:val="41974003"/>
    <w:rsid w:val="4222BE54"/>
    <w:rsid w:val="4348DB11"/>
    <w:rsid w:val="435FAC26"/>
    <w:rsid w:val="43BFDBF8"/>
    <w:rsid w:val="44CBA255"/>
    <w:rsid w:val="44D571B2"/>
    <w:rsid w:val="457E6895"/>
    <w:rsid w:val="494F78EB"/>
    <w:rsid w:val="49B710D5"/>
    <w:rsid w:val="49D664D1"/>
    <w:rsid w:val="4A7E56AD"/>
    <w:rsid w:val="4AA5B48B"/>
    <w:rsid w:val="4AAA8A0A"/>
    <w:rsid w:val="4AB7AED9"/>
    <w:rsid w:val="4AD4435A"/>
    <w:rsid w:val="4B7965A8"/>
    <w:rsid w:val="4D09738F"/>
    <w:rsid w:val="507025D3"/>
    <w:rsid w:val="507338D2"/>
    <w:rsid w:val="50AB3516"/>
    <w:rsid w:val="50FA9641"/>
    <w:rsid w:val="5124CC36"/>
    <w:rsid w:val="52061379"/>
    <w:rsid w:val="527CCED7"/>
    <w:rsid w:val="54A07214"/>
    <w:rsid w:val="567BC849"/>
    <w:rsid w:val="5736E5EB"/>
    <w:rsid w:val="59AAA3ED"/>
    <w:rsid w:val="5D0ED4E8"/>
    <w:rsid w:val="5DCB54C6"/>
    <w:rsid w:val="5E2AFD93"/>
    <w:rsid w:val="5EC47A94"/>
    <w:rsid w:val="5F625EE4"/>
    <w:rsid w:val="60ED6638"/>
    <w:rsid w:val="63B7E9F0"/>
    <w:rsid w:val="64ACF7DD"/>
    <w:rsid w:val="64E84681"/>
    <w:rsid w:val="651A8B79"/>
    <w:rsid w:val="656B582B"/>
    <w:rsid w:val="66265A53"/>
    <w:rsid w:val="669F0A26"/>
    <w:rsid w:val="66A49A03"/>
    <w:rsid w:val="66EDCC8E"/>
    <w:rsid w:val="67DFCA7F"/>
    <w:rsid w:val="682BDA41"/>
    <w:rsid w:val="6B4288A0"/>
    <w:rsid w:val="6C32BD93"/>
    <w:rsid w:val="6CA4E7F4"/>
    <w:rsid w:val="6E4C1585"/>
    <w:rsid w:val="6E56DD5C"/>
    <w:rsid w:val="6EB7354C"/>
    <w:rsid w:val="6F26DE89"/>
    <w:rsid w:val="7098B78F"/>
    <w:rsid w:val="718D38F3"/>
    <w:rsid w:val="71D4622F"/>
    <w:rsid w:val="7240C921"/>
    <w:rsid w:val="72547FFD"/>
    <w:rsid w:val="73E1B7E7"/>
    <w:rsid w:val="7480CD5B"/>
    <w:rsid w:val="7492F784"/>
    <w:rsid w:val="75046DD9"/>
    <w:rsid w:val="77DFDF71"/>
    <w:rsid w:val="78A17B78"/>
    <w:rsid w:val="78B70EF1"/>
    <w:rsid w:val="79DE545B"/>
    <w:rsid w:val="7A416B21"/>
    <w:rsid w:val="7B3BD922"/>
    <w:rsid w:val="7B45E04E"/>
    <w:rsid w:val="7CB5384F"/>
    <w:rsid w:val="7E28B4AA"/>
    <w:rsid w:val="7F48F1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6CB466B"/>
  <w15:chartTrackingRefBased/>
  <w15:docId w15:val="{020EFEB8-4C17-438E-81BB-3BB48945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23E"/>
    <w:rPr>
      <w:rFonts w:eastAsiaTheme="majorEastAsia" w:cstheme="majorBidi"/>
      <w:color w:val="272727" w:themeColor="text1" w:themeTint="D8"/>
    </w:rPr>
  </w:style>
  <w:style w:type="paragraph" w:styleId="Title">
    <w:name w:val="Title"/>
    <w:basedOn w:val="Normal"/>
    <w:next w:val="Normal"/>
    <w:link w:val="TitleChar"/>
    <w:uiPriority w:val="10"/>
    <w:qFormat/>
    <w:rsid w:val="002A0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23E"/>
    <w:pPr>
      <w:spacing w:before="160"/>
      <w:jc w:val="center"/>
    </w:pPr>
    <w:rPr>
      <w:i/>
      <w:iCs/>
      <w:color w:val="404040" w:themeColor="text1" w:themeTint="BF"/>
    </w:rPr>
  </w:style>
  <w:style w:type="character" w:customStyle="1" w:styleId="QuoteChar">
    <w:name w:val="Quote Char"/>
    <w:basedOn w:val="DefaultParagraphFont"/>
    <w:link w:val="Quote"/>
    <w:uiPriority w:val="29"/>
    <w:rsid w:val="002A023E"/>
    <w:rPr>
      <w:i/>
      <w:iCs/>
      <w:color w:val="404040" w:themeColor="text1" w:themeTint="BF"/>
    </w:rPr>
  </w:style>
  <w:style w:type="paragraph" w:styleId="ListParagraph">
    <w:name w:val="List Paragraph"/>
    <w:basedOn w:val="Normal"/>
    <w:uiPriority w:val="34"/>
    <w:qFormat/>
    <w:rsid w:val="002A023E"/>
    <w:pPr>
      <w:ind w:left="720"/>
      <w:contextualSpacing/>
    </w:pPr>
  </w:style>
  <w:style w:type="character" w:styleId="IntenseEmphasis">
    <w:name w:val="Intense Emphasis"/>
    <w:basedOn w:val="DefaultParagraphFont"/>
    <w:uiPriority w:val="21"/>
    <w:qFormat/>
    <w:rsid w:val="002A023E"/>
    <w:rPr>
      <w:i/>
      <w:iCs/>
      <w:color w:val="0F4761" w:themeColor="accent1" w:themeShade="BF"/>
    </w:rPr>
  </w:style>
  <w:style w:type="paragraph" w:styleId="IntenseQuote">
    <w:name w:val="Intense Quote"/>
    <w:basedOn w:val="Normal"/>
    <w:next w:val="Normal"/>
    <w:link w:val="IntenseQuoteChar"/>
    <w:uiPriority w:val="30"/>
    <w:qFormat/>
    <w:rsid w:val="002A0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23E"/>
    <w:rPr>
      <w:i/>
      <w:iCs/>
      <w:color w:val="0F4761" w:themeColor="accent1" w:themeShade="BF"/>
    </w:rPr>
  </w:style>
  <w:style w:type="character" w:styleId="IntenseReference">
    <w:name w:val="Intense Reference"/>
    <w:basedOn w:val="DefaultParagraphFont"/>
    <w:uiPriority w:val="32"/>
    <w:qFormat/>
    <w:rsid w:val="002A023E"/>
    <w:rPr>
      <w:b/>
      <w:bCs/>
      <w:smallCaps/>
      <w:color w:val="0F4761" w:themeColor="accent1" w:themeShade="BF"/>
      <w:spacing w:val="5"/>
    </w:rPr>
  </w:style>
  <w:style w:type="character" w:customStyle="1" w:styleId="normaltextrun">
    <w:name w:val="normaltextrun"/>
    <w:basedOn w:val="DefaultParagraphFont"/>
    <w:rsid w:val="0043716A"/>
  </w:style>
  <w:style w:type="character" w:styleId="CommentReference">
    <w:name w:val="annotation reference"/>
    <w:basedOn w:val="DefaultParagraphFont"/>
    <w:uiPriority w:val="99"/>
    <w:semiHidden/>
    <w:unhideWhenUsed/>
    <w:rsid w:val="00827CCB"/>
    <w:rPr>
      <w:sz w:val="16"/>
      <w:szCs w:val="16"/>
    </w:rPr>
  </w:style>
  <w:style w:type="paragraph" w:styleId="CommentText">
    <w:name w:val="annotation text"/>
    <w:basedOn w:val="Normal"/>
    <w:link w:val="CommentTextChar"/>
    <w:uiPriority w:val="99"/>
    <w:semiHidden/>
    <w:unhideWhenUsed/>
    <w:rsid w:val="00827CCB"/>
    <w:pPr>
      <w:spacing w:line="240" w:lineRule="auto"/>
    </w:pPr>
    <w:rPr>
      <w:sz w:val="20"/>
      <w:szCs w:val="20"/>
    </w:rPr>
  </w:style>
  <w:style w:type="character" w:customStyle="1" w:styleId="CommentTextChar">
    <w:name w:val="Comment Text Char"/>
    <w:basedOn w:val="DefaultParagraphFont"/>
    <w:link w:val="CommentText"/>
    <w:uiPriority w:val="99"/>
    <w:semiHidden/>
    <w:rsid w:val="00827CCB"/>
    <w:rPr>
      <w:sz w:val="20"/>
      <w:szCs w:val="20"/>
    </w:rPr>
  </w:style>
  <w:style w:type="paragraph" w:styleId="CommentSubject">
    <w:name w:val="annotation subject"/>
    <w:basedOn w:val="CommentText"/>
    <w:next w:val="CommentText"/>
    <w:link w:val="CommentSubjectChar"/>
    <w:uiPriority w:val="99"/>
    <w:semiHidden/>
    <w:unhideWhenUsed/>
    <w:rsid w:val="00827CCB"/>
    <w:rPr>
      <w:b/>
      <w:bCs/>
    </w:rPr>
  </w:style>
  <w:style w:type="character" w:customStyle="1" w:styleId="CommentSubjectChar">
    <w:name w:val="Comment Subject Char"/>
    <w:basedOn w:val="CommentTextChar"/>
    <w:link w:val="CommentSubject"/>
    <w:uiPriority w:val="99"/>
    <w:semiHidden/>
    <w:rsid w:val="00827CCB"/>
    <w:rPr>
      <w:b/>
      <w:bCs/>
      <w:sz w:val="20"/>
      <w:szCs w:val="20"/>
    </w:rPr>
  </w:style>
  <w:style w:type="character" w:styleId="Hyperlink">
    <w:name w:val="Hyperlink"/>
    <w:basedOn w:val="DefaultParagraphFont"/>
    <w:uiPriority w:val="99"/>
    <w:unhideWhenUsed/>
    <w:rsid w:val="009509AF"/>
    <w:rPr>
      <w:color w:val="467886" w:themeColor="hyperlink"/>
      <w:u w:val="single"/>
    </w:rPr>
  </w:style>
  <w:style w:type="character" w:styleId="UnresolvedMention">
    <w:name w:val="Unresolved Mention"/>
    <w:basedOn w:val="DefaultParagraphFont"/>
    <w:uiPriority w:val="99"/>
    <w:semiHidden/>
    <w:unhideWhenUsed/>
    <w:rsid w:val="00950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in.patrick@ca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Hanania</dc:creator>
  <cp:keywords/>
  <dc:description/>
  <cp:lastModifiedBy>Dina Hanania</cp:lastModifiedBy>
  <cp:revision>26</cp:revision>
  <dcterms:created xsi:type="dcterms:W3CDTF">2025-11-07T14:59:00Z</dcterms:created>
  <dcterms:modified xsi:type="dcterms:W3CDTF">2025-11-07T15:44:00Z</dcterms:modified>
</cp:coreProperties>
</file>