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6401" w:rsidR="00774CF8" w:rsidP="55032B6B" w:rsidRDefault="00774CF8" w14:paraId="0E5011B7" w14:textId="78623740">
      <w:pPr>
        <w:pStyle w:val="Normal"/>
        <w:spacing w:after="0" w:line="264" w:lineRule="auto"/>
        <w:rPr>
          <w:rFonts w:ascii="Aptos" w:hAnsi="Aptos" w:eastAsia="Aptos" w:cs="Aptos"/>
          <w:b w:val="1"/>
          <w:bCs w:val="1"/>
          <w:strike w:val="0"/>
          <w:dstrike w:val="0"/>
          <w:noProof w:val="0"/>
          <w:sz w:val="28"/>
          <w:szCs w:val="28"/>
          <w:u w:val="single"/>
          <w:lang w:val="en-US"/>
        </w:rPr>
      </w:pPr>
      <w:r w:rsidRPr="55032B6B" w:rsidR="00774CF8">
        <w:rPr>
          <w:b w:val="1"/>
          <w:bCs w:val="1"/>
          <w:sz w:val="28"/>
          <w:szCs w:val="28"/>
        </w:rPr>
        <w:t>ESSENTIAL VAWG RISK MITIGATION ACTIONS</w:t>
      </w:r>
      <w:r w:rsidRPr="55032B6B" w:rsidR="23C48810">
        <w:rPr>
          <w:b w:val="1"/>
          <w:bCs w:val="1"/>
          <w:sz w:val="28"/>
          <w:szCs w:val="28"/>
        </w:rPr>
        <w:t xml:space="preserve"> - </w:t>
      </w:r>
      <w:r w:rsidRPr="55032B6B" w:rsidR="23C48810">
        <w:rPr>
          <w:rFonts w:ascii="Aptos" w:hAnsi="Aptos" w:eastAsia="Aptos" w:cs="Aptos"/>
          <w:b w:val="1"/>
          <w:bCs w:val="1"/>
          <w:strike w:val="0"/>
          <w:dstrike w:val="0"/>
          <w:noProof w:val="0"/>
          <w:sz w:val="28"/>
          <w:szCs w:val="28"/>
          <w:u w:val="single"/>
          <w:lang w:val="en-US"/>
        </w:rPr>
        <w:t>HEALTH</w:t>
      </w:r>
    </w:p>
    <w:p w:rsidRPr="00A56401" w:rsidR="00774CF8" w:rsidP="00774CF8" w:rsidRDefault="00774CF8" w14:paraId="30C44CE2" w14:textId="77777777">
      <w:pPr>
        <w:spacing w:after="0" w:line="264" w:lineRule="auto"/>
        <w:rPr>
          <w:i/>
          <w:iCs/>
        </w:rPr>
      </w:pPr>
      <w:r w:rsidRPr="00A56401">
        <w:rPr>
          <w:i/>
          <w:iCs/>
        </w:rPr>
        <w:t>Source: IASC GBV Guidelines</w:t>
      </w:r>
    </w:p>
    <w:p w:rsidRPr="00A56401" w:rsidR="00774CF8" w:rsidP="00774CF8" w:rsidRDefault="00774CF8" w14:paraId="75C644CD" w14:textId="77777777">
      <w:pPr>
        <w:spacing w:after="0" w:line="264" w:lineRule="auto"/>
      </w:pPr>
    </w:p>
    <w:p w:rsidRPr="00774CF8" w:rsidR="00774CF8" w:rsidP="00774CF8" w:rsidRDefault="00774CF8" w14:paraId="524A7058" w14:textId="77777777">
      <w:pPr>
        <w:spacing w:after="0" w:line="264" w:lineRule="auto"/>
        <w:rPr>
          <w:i/>
          <w:iCs/>
        </w:rPr>
      </w:pPr>
      <w:proofErr w:type="gramStart"/>
      <w:r w:rsidRPr="00774CF8">
        <w:rPr>
          <w:b/>
          <w:bCs/>
          <w:i/>
          <w:iCs/>
        </w:rPr>
        <w:t>Note :</w:t>
      </w:r>
      <w:proofErr w:type="gramEnd"/>
      <w:r w:rsidRPr="00774CF8">
        <w:rPr>
          <w:i/>
          <w:iCs/>
        </w:rPr>
        <w:t xml:space="preserve"> successful program implementation strategies will necessarily be dependent on the specific context in which you’re working. The precise intervention that may be successful in improving the cultural acceptability (and therefore use of) health services by camp-based female refugees may not have the same impact in improving access to health services by reducing or eliminating service fees for health services for displaced women in an urban context, for example. For that reason, the examples provided in this toolkit are not prescriptive: we cannot tell you exactly what will work in your specific context.  </w:t>
      </w:r>
    </w:p>
    <w:p w:rsidRPr="00774CF8" w:rsidR="00774CF8" w:rsidP="00774CF8" w:rsidRDefault="00774CF8" w14:paraId="0CC4D430" w14:textId="77777777">
      <w:pPr>
        <w:spacing w:after="0" w:line="264" w:lineRule="auto"/>
        <w:rPr>
          <w:i/>
          <w:iCs/>
        </w:rPr>
      </w:pPr>
    </w:p>
    <w:p w:rsidRPr="00774CF8" w:rsidR="00774CF8" w:rsidP="00774CF8" w:rsidRDefault="00774CF8" w14:paraId="760CDE58" w14:textId="77777777">
      <w:pPr>
        <w:spacing w:after="0" w:line="264" w:lineRule="auto"/>
        <w:rPr>
          <w:i/>
          <w:iCs/>
        </w:rPr>
      </w:pPr>
      <w:r w:rsidRPr="00774CF8">
        <w:rPr>
          <w:i/>
          <w:iCs/>
        </w:rPr>
        <w:t xml:space="preserve">However, there are some general activities that are consistently good practice for improving safety and access, and/or which can serve as a proven basis from which contextual adaptations can and should be made. In the IASC GBV Guidelines, these are called “Essential Actions,” and they are outlined below. </w:t>
      </w:r>
    </w:p>
    <w:p w:rsidR="00774CF8" w:rsidP="00774CF8" w:rsidRDefault="00774CF8" w14:paraId="66BADCEA" w14:textId="77777777">
      <w:pPr>
        <w:spacing w:after="0" w:line="264" w:lineRule="auto"/>
      </w:pPr>
    </w:p>
    <w:p w:rsidRPr="00993304" w:rsidR="00774CF8" w:rsidP="00774CF8" w:rsidRDefault="00774CF8" w14:paraId="29B9DC18" w14:textId="77777777">
      <w:pPr>
        <w:spacing w:after="0" w:line="264" w:lineRule="auto"/>
        <w:rPr>
          <w:b/>
          <w:bCs/>
        </w:rPr>
      </w:pPr>
      <w:r w:rsidRPr="00993304">
        <w:rPr>
          <w:b/>
          <w:bCs/>
        </w:rPr>
        <w:t>PROGRAMMING</w:t>
      </w:r>
    </w:p>
    <w:p w:rsidR="00774CF8" w:rsidP="00774CF8" w:rsidRDefault="00774CF8" w14:paraId="5A3D4B73" w14:textId="77777777">
      <w:pPr>
        <w:spacing w:after="0" w:line="264" w:lineRule="auto"/>
      </w:pPr>
    </w:p>
    <w:p w:rsidR="00774CF8" w:rsidP="00774CF8" w:rsidRDefault="00774CF8" w14:paraId="7C846699" w14:textId="77777777">
      <w:pPr>
        <w:pStyle w:val="ListParagraph"/>
        <w:numPr>
          <w:ilvl w:val="0"/>
          <w:numId w:val="1"/>
        </w:numPr>
        <w:spacing w:after="0" w:line="264" w:lineRule="auto"/>
      </w:pPr>
      <w:r w:rsidRPr="00993304">
        <w:rPr>
          <w:b/>
          <w:bCs/>
        </w:rPr>
        <w:t xml:space="preserve">Increase the accessibility </w:t>
      </w:r>
      <w:r>
        <w:t>of health and reproductive health facilities that integrate VAWG-related services. For example:</w:t>
      </w:r>
    </w:p>
    <w:p w:rsidR="00774CF8" w:rsidP="00774CF8" w:rsidRDefault="00774CF8" w14:paraId="7E60E407" w14:textId="77777777">
      <w:pPr>
        <w:pStyle w:val="ListParagraph"/>
        <w:numPr>
          <w:ilvl w:val="1"/>
          <w:numId w:val="1"/>
        </w:numPr>
        <w:spacing w:after="0" w:line="264" w:lineRule="auto"/>
      </w:pPr>
      <w:r>
        <w:t xml:space="preserve">Provide safe and confidential escorts to </w:t>
      </w:r>
      <w:proofErr w:type="gramStart"/>
      <w:r>
        <w:t>facilities;</w:t>
      </w:r>
      <w:proofErr w:type="gramEnd"/>
      <w:r>
        <w:t xml:space="preserve"> </w:t>
      </w:r>
    </w:p>
    <w:p w:rsidR="00774CF8" w:rsidP="00774CF8" w:rsidRDefault="00774CF8" w14:paraId="6618E8B0" w14:textId="77777777">
      <w:pPr>
        <w:pStyle w:val="ListParagraph"/>
        <w:numPr>
          <w:ilvl w:val="1"/>
          <w:numId w:val="1"/>
        </w:numPr>
        <w:spacing w:after="0" w:line="264" w:lineRule="auto"/>
      </w:pPr>
      <w:r>
        <w:t xml:space="preserve">Make opening times </w:t>
      </w:r>
      <w:proofErr w:type="gramStart"/>
      <w:r>
        <w:t>convenient;</w:t>
      </w:r>
      <w:proofErr w:type="gramEnd"/>
      <w:r>
        <w:t xml:space="preserve"> </w:t>
      </w:r>
    </w:p>
    <w:p w:rsidRPr="0086104F" w:rsidR="00774CF8" w:rsidP="00774CF8" w:rsidRDefault="00774CF8" w14:paraId="64A3836C" w14:textId="77777777">
      <w:pPr>
        <w:pStyle w:val="ListParagraph"/>
        <w:numPr>
          <w:ilvl w:val="1"/>
          <w:numId w:val="1"/>
        </w:numPr>
        <w:spacing w:after="0" w:line="264" w:lineRule="auto"/>
      </w:pPr>
      <w:r w:rsidRPr="0086104F">
        <w:t>Employ female staff</w:t>
      </w:r>
      <w:r>
        <w:t xml:space="preserve">, particularly where cultural norms limit interaction of female with non-related </w:t>
      </w:r>
      <w:proofErr w:type="gramStart"/>
      <w:r>
        <w:t>males</w:t>
      </w:r>
      <w:r w:rsidRPr="0086104F">
        <w:t>;</w:t>
      </w:r>
      <w:proofErr w:type="gramEnd"/>
      <w:r w:rsidRPr="0086104F">
        <w:t xml:space="preserve"> </w:t>
      </w:r>
    </w:p>
    <w:p w:rsidR="00774CF8" w:rsidP="00774CF8" w:rsidRDefault="00774CF8" w14:paraId="6FF5BE1E" w14:textId="77777777">
      <w:pPr>
        <w:pStyle w:val="ListParagraph"/>
        <w:numPr>
          <w:ilvl w:val="1"/>
          <w:numId w:val="1"/>
        </w:numPr>
        <w:spacing w:after="0" w:line="264" w:lineRule="auto"/>
      </w:pPr>
      <w:r>
        <w:t xml:space="preserve">Ensure universal access for persons with </w:t>
      </w:r>
      <w:proofErr w:type="gramStart"/>
      <w:r>
        <w:t>disabilities;</w:t>
      </w:r>
      <w:proofErr w:type="gramEnd"/>
      <w:r>
        <w:t xml:space="preserve"> </w:t>
      </w:r>
    </w:p>
    <w:p w:rsidR="00774CF8" w:rsidP="00774CF8" w:rsidRDefault="00774CF8" w14:paraId="418B76B7" w14:textId="77777777">
      <w:pPr>
        <w:pStyle w:val="ListParagraph"/>
        <w:numPr>
          <w:ilvl w:val="1"/>
          <w:numId w:val="1"/>
        </w:numPr>
        <w:spacing w:after="0" w:line="264" w:lineRule="auto"/>
      </w:pPr>
      <w:r>
        <w:t xml:space="preserve">Eliminate service </w:t>
      </w:r>
      <w:proofErr w:type="gramStart"/>
      <w:r>
        <w:t>fees;</w:t>
      </w:r>
      <w:proofErr w:type="gramEnd"/>
    </w:p>
    <w:p w:rsidRPr="00A503A2" w:rsidR="00774CF8" w:rsidP="55032B6B" w:rsidRDefault="00774CF8" w14:paraId="1E562106" w14:textId="77777777">
      <w:pPr>
        <w:pStyle w:val="ListParagraph"/>
        <w:numPr>
          <w:ilvl w:val="1"/>
          <w:numId w:val="1"/>
        </w:numPr>
        <w:spacing w:after="0" w:line="264" w:lineRule="auto"/>
        <w:rPr>
          <w:i w:val="1"/>
          <w:iCs w:val="1"/>
        </w:rPr>
      </w:pPr>
      <w:r w:rsidRPr="55032B6B" w:rsidR="00774CF8">
        <w:rPr>
          <w:i w:val="1"/>
          <w:iCs w:val="1"/>
        </w:rPr>
        <w:t>Other according to context</w:t>
      </w:r>
    </w:p>
    <w:p w:rsidR="55032B6B" w:rsidP="55032B6B" w:rsidRDefault="55032B6B" w14:paraId="058DA1C1" w14:textId="234091B6">
      <w:pPr>
        <w:pStyle w:val="Normal"/>
        <w:spacing w:after="0" w:line="264" w:lineRule="auto"/>
        <w:rPr>
          <w:i w:val="1"/>
          <w:iCs w:val="1"/>
        </w:rPr>
      </w:pPr>
    </w:p>
    <w:p w:rsidR="64755778" w:rsidP="55032B6B" w:rsidRDefault="64755778" w14:paraId="34984C20" w14:textId="73DA6FD3">
      <w:pPr>
        <w:pStyle w:val="ListParagraph"/>
        <w:numPr>
          <w:ilvl w:val="0"/>
          <w:numId w:val="1"/>
        </w:numPr>
        <w:spacing w:after="0" w:line="264" w:lineRule="auto"/>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pPr>
      <w:r w:rsidR="64755778">
        <w:rPr/>
        <w:t xml:space="preserve">Ensure that health services </w:t>
      </w:r>
      <w:r w:rsidRPr="55032B6B" w:rsidR="64755778">
        <w:rPr>
          <w:b w:val="1"/>
          <w:bCs w:val="1"/>
        </w:rPr>
        <w:t>includ</w:t>
      </w:r>
      <w:r w:rsidRPr="55032B6B" w:rsidR="64755778">
        <w:rPr>
          <w:rFonts w:ascii="Aptos" w:hAnsi="Aptos" w:eastAsia="Aptos" w:cs="Aptos" w:asciiTheme="minorAscii" w:hAnsiTheme="minorAscii" w:eastAsiaTheme="minorAscii" w:cstheme="minorAscii"/>
          <w:b w:val="1"/>
          <w:bCs w:val="1"/>
          <w:sz w:val="24"/>
          <w:szCs w:val="24"/>
        </w:rPr>
        <w:t>e t</w:t>
      </w:r>
      <w:r w:rsidRPr="55032B6B" w:rsidR="64755778">
        <w:rPr>
          <w:rFonts w:ascii="Aptos" w:hAnsi="Aptos" w:eastAsia="Aptos" w:cs="Aptos" w:asciiTheme="minorAscii" w:hAnsiTheme="minorAscii" w:eastAsiaTheme="minorAscii" w:cstheme="minorAscii"/>
          <w:b w:val="1"/>
          <w:bCs w:val="1"/>
          <w:i w:val="0"/>
          <w:iCs w:val="0"/>
          <w:caps w:val="0"/>
          <w:smallCaps w:val="0"/>
          <w:noProof w:val="0"/>
          <w:color w:val="242424"/>
          <w:sz w:val="24"/>
          <w:szCs w:val="24"/>
          <w:lang w:val="en-US"/>
        </w:rPr>
        <w:t xml:space="preserve">he full clinical management of rape package </w:t>
      </w:r>
      <w:r w:rsidRPr="55032B6B" w:rsidR="64755778">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 xml:space="preserve">(PEP, emergency contraception, STI treatment, pregnancy testing, and psychosocial first aid), aligned with the </w:t>
      </w:r>
      <w:hyperlink r:id="Ra1ec91fafa574fd8">
        <w:r w:rsidRPr="55032B6B" w:rsidR="64755778">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US"/>
          </w:rPr>
          <w:t>Minimum Initial Service Package (MISP)</w:t>
        </w:r>
      </w:hyperlink>
      <w:r w:rsidRPr="55032B6B" w:rsidR="64755778">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 xml:space="preserve"> and WHO protocols.</w:t>
      </w:r>
    </w:p>
    <w:p w:rsidR="55032B6B" w:rsidP="55032B6B" w:rsidRDefault="55032B6B" w14:paraId="77348313" w14:textId="0FE65C62">
      <w:pPr>
        <w:pStyle w:val="Normal"/>
        <w:spacing w:after="0" w:line="264" w:lineRule="auto"/>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pPr>
    </w:p>
    <w:p w:rsidR="00774CF8" w:rsidP="00774CF8" w:rsidRDefault="00774CF8" w14:paraId="693DB526" w14:textId="77777777" w14:noSpellErr="1">
      <w:pPr>
        <w:pStyle w:val="ListParagraph"/>
        <w:numPr>
          <w:ilvl w:val="0"/>
          <w:numId w:val="1"/>
        </w:numPr>
        <w:spacing w:after="0" w:line="264" w:lineRule="auto"/>
        <w:rPr/>
      </w:pPr>
      <w:r w:rsidR="10DFB9DC">
        <w:rPr/>
        <w:t xml:space="preserve">Implement </w:t>
      </w:r>
      <w:r w:rsidR="10DFB9DC">
        <w:rPr/>
        <w:t xml:space="preserve">strategies that </w:t>
      </w:r>
      <w:r w:rsidRPr="4D9D1C34" w:rsidR="10DFB9DC">
        <w:rPr>
          <w:b w:val="1"/>
          <w:bCs w:val="1"/>
        </w:rPr>
        <w:t xml:space="preserve">maximize the quality of survivor care </w:t>
      </w:r>
      <w:r w:rsidR="10DFB9DC">
        <w:rPr/>
        <w:t>at hea</w:t>
      </w:r>
      <w:r w:rsidR="10DFB9DC">
        <w:rPr/>
        <w:t>lth</w:t>
      </w:r>
      <w:r w:rsidR="10DFB9DC">
        <w:rPr/>
        <w:t xml:space="preserve"> facilities. For example:</w:t>
      </w:r>
    </w:p>
    <w:p w:rsidR="00774CF8" w:rsidP="00774CF8" w:rsidRDefault="00774CF8" w14:paraId="7F5B6810" w14:textId="77777777">
      <w:pPr>
        <w:pStyle w:val="ListParagraph"/>
        <w:numPr>
          <w:ilvl w:val="1"/>
          <w:numId w:val="1"/>
        </w:numPr>
        <w:spacing w:after="0" w:line="264" w:lineRule="auto"/>
      </w:pPr>
      <w:r>
        <w:t xml:space="preserve">Implement standardized guidelines for the clinical care of sexual </w:t>
      </w:r>
      <w:proofErr w:type="gramStart"/>
      <w:r>
        <w:t>assault;</w:t>
      </w:r>
      <w:proofErr w:type="gramEnd"/>
      <w:r>
        <w:t xml:space="preserve"> </w:t>
      </w:r>
    </w:p>
    <w:p w:rsidR="00774CF8" w:rsidP="00774CF8" w:rsidRDefault="00774CF8" w14:paraId="70B43847" w14:textId="77777777" w14:noSpellErr="1">
      <w:pPr>
        <w:pStyle w:val="ListParagraph"/>
        <w:numPr>
          <w:ilvl w:val="1"/>
          <w:numId w:val="1"/>
        </w:numPr>
        <w:spacing w:after="0" w:line="264" w:lineRule="auto"/>
        <w:rPr/>
      </w:pPr>
      <w:r w:rsidR="10DFB9DC">
        <w:rPr/>
        <w:t xml:space="preserve">Establish </w:t>
      </w:r>
      <w:r w:rsidR="10DFB9DC">
        <w:rPr/>
        <w:t xml:space="preserve">private consultation </w:t>
      </w:r>
      <w:r w:rsidR="10DFB9DC">
        <w:rPr/>
        <w:t>rooms;</w:t>
      </w:r>
      <w:r w:rsidR="10DFB9DC">
        <w:rPr/>
        <w:t xml:space="preserve"> </w:t>
      </w:r>
    </w:p>
    <w:p w:rsidR="00774CF8" w:rsidP="00774CF8" w:rsidRDefault="00774CF8" w14:paraId="4CDFEF68" w14:textId="77777777">
      <w:pPr>
        <w:pStyle w:val="ListParagraph"/>
        <w:numPr>
          <w:ilvl w:val="1"/>
          <w:numId w:val="1"/>
        </w:numPr>
        <w:spacing w:after="0" w:line="264" w:lineRule="auto"/>
      </w:pPr>
      <w:r>
        <w:t xml:space="preserve">Maintain adequate supplies and medical </w:t>
      </w:r>
      <w:proofErr w:type="gramStart"/>
      <w:r>
        <w:t>drugs;</w:t>
      </w:r>
      <w:proofErr w:type="gramEnd"/>
      <w:r>
        <w:t xml:space="preserve"> </w:t>
      </w:r>
    </w:p>
    <w:p w:rsidR="00774CF8" w:rsidP="00774CF8" w:rsidRDefault="00774CF8" w14:paraId="45F04D1C" w14:textId="77777777">
      <w:pPr>
        <w:pStyle w:val="ListParagraph"/>
        <w:numPr>
          <w:ilvl w:val="1"/>
          <w:numId w:val="1"/>
        </w:numPr>
        <w:spacing w:after="0" w:line="264" w:lineRule="auto"/>
      </w:pPr>
      <w:r>
        <w:t xml:space="preserve">Provide follow-up </w:t>
      </w:r>
      <w:proofErr w:type="gramStart"/>
      <w:r>
        <w:t>services;</w:t>
      </w:r>
      <w:proofErr w:type="gramEnd"/>
    </w:p>
    <w:p w:rsidRPr="00A503A2" w:rsidR="00774CF8" w:rsidP="55032B6B" w:rsidRDefault="00774CF8" w14:paraId="2ECB0D54" w14:textId="77777777">
      <w:pPr>
        <w:pStyle w:val="ListParagraph"/>
        <w:numPr>
          <w:ilvl w:val="1"/>
          <w:numId w:val="1"/>
        </w:numPr>
        <w:spacing w:after="0" w:line="264" w:lineRule="auto"/>
        <w:rPr>
          <w:i w:val="1"/>
          <w:iCs w:val="1"/>
        </w:rPr>
      </w:pPr>
      <w:r w:rsidRPr="55032B6B" w:rsidR="00774CF8">
        <w:rPr>
          <w:i w:val="1"/>
          <w:iCs w:val="1"/>
        </w:rPr>
        <w:t>Other according to context</w:t>
      </w:r>
    </w:p>
    <w:p w:rsidR="55032B6B" w:rsidP="55032B6B" w:rsidRDefault="55032B6B" w14:paraId="536C2BB9" w14:textId="3C2A349C">
      <w:pPr>
        <w:pStyle w:val="Normal"/>
        <w:spacing w:after="0" w:line="264" w:lineRule="auto"/>
        <w:rPr>
          <w:i w:val="1"/>
          <w:iCs w:val="1"/>
        </w:rPr>
      </w:pPr>
    </w:p>
    <w:p w:rsidR="55B77606" w:rsidP="4D9D1C34" w:rsidRDefault="55B77606" w14:paraId="14586C28" w14:textId="10261B51">
      <w:pPr>
        <w:pStyle w:val="ListParagraph"/>
        <w:numPr>
          <w:ilvl w:val="0"/>
          <w:numId w:val="1"/>
        </w:numPr>
        <w:spacing w:after="0" w:line="264" w:lineRule="auto"/>
        <w:rPr>
          <w:i w:val="0"/>
          <w:iCs w:val="0"/>
        </w:rPr>
      </w:pPr>
      <w:r w:rsidRPr="4D9D1C34" w:rsidR="55B77606">
        <w:rPr>
          <w:i w:val="0"/>
          <w:iCs w:val="0"/>
        </w:rPr>
        <w:t xml:space="preserve">Ensure that health facilities have strong data protection protocols in place (i.e.: secure record keeping, informed consent for data use, GBVIMS-aligned protocols to prevent breaches of </w:t>
      </w:r>
      <w:r w:rsidRPr="4D9D1C34" w:rsidR="20EF04CE">
        <w:rPr>
          <w:i w:val="0"/>
          <w:iCs w:val="0"/>
        </w:rPr>
        <w:t>survivor</w:t>
      </w:r>
      <w:r w:rsidRPr="4D9D1C34" w:rsidR="55B77606">
        <w:rPr>
          <w:i w:val="0"/>
          <w:iCs w:val="0"/>
        </w:rPr>
        <w:t xml:space="preserve"> data, et</w:t>
      </w:r>
      <w:r w:rsidRPr="4D9D1C34" w:rsidR="6B0001BF">
        <w:rPr>
          <w:i w:val="0"/>
          <w:iCs w:val="0"/>
        </w:rPr>
        <w:t>c.)</w:t>
      </w:r>
    </w:p>
    <w:p w:rsidR="00774CF8" w:rsidP="4D9D1C34" w:rsidRDefault="00774CF8" w14:paraId="3ECB2768" w14:textId="546823E9">
      <w:pPr>
        <w:pStyle w:val="ListParagraph"/>
        <w:numPr>
          <w:ilvl w:val="0"/>
          <w:numId w:val="1"/>
        </w:numPr>
        <w:spacing w:after="0" w:line="264" w:lineRule="auto"/>
        <w:rPr>
          <w:rFonts w:ascii="Aptos" w:hAnsi="Aptos" w:eastAsia="Aptos" w:cs="Aptos" w:asciiTheme="minorAscii" w:hAnsiTheme="minorAscii" w:eastAsiaTheme="minorAscii" w:cstheme="minorAscii"/>
          <w:sz w:val="24"/>
          <w:szCs w:val="24"/>
        </w:rPr>
      </w:pPr>
      <w:r w:rsidRPr="4D9D1C34" w:rsidR="10DFB9DC">
        <w:rPr>
          <w:b w:val="1"/>
          <w:bCs w:val="1"/>
        </w:rPr>
        <w:t xml:space="preserve">Enhance the capacity of health providers </w:t>
      </w:r>
      <w:r w:rsidR="10DFB9DC">
        <w:rPr/>
        <w:t xml:space="preserve">to deliver quality care to survivors through </w:t>
      </w:r>
      <w:r w:rsidR="10DFB9DC">
        <w:rPr/>
        <w:t>training,</w:t>
      </w:r>
      <w:r w:rsidR="10DFB9DC">
        <w:rPr/>
        <w:t xml:space="preserve"> </w:t>
      </w:r>
      <w:r w:rsidR="10DFB9DC">
        <w:rPr/>
        <w:t>support</w:t>
      </w:r>
      <w:r w:rsidR="10DFB9DC">
        <w:rPr/>
        <w:t xml:space="preserve"> and supervision (and, where </w:t>
      </w:r>
      <w:r w:rsidR="10DFB9DC">
        <w:rPr/>
        <w:t>feasible</w:t>
      </w:r>
      <w:r w:rsidR="10DFB9DC">
        <w:rPr/>
        <w:t>, include a VAWG caseworker on staff at health facilities)</w:t>
      </w:r>
      <w:r w:rsidR="68D6F5DD">
        <w:rPr/>
        <w:t>. This should include, a</w:t>
      </w:r>
      <w:r w:rsidRPr="4D9D1C34" w:rsidR="68D6F5DD">
        <w:rPr>
          <w:rFonts w:ascii="Aptos" w:hAnsi="Aptos" w:eastAsia="Aptos" w:cs="Aptos" w:asciiTheme="minorAscii" w:hAnsiTheme="minorAscii" w:eastAsiaTheme="minorAscii" w:cstheme="minorAscii"/>
          <w:sz w:val="24"/>
          <w:szCs w:val="24"/>
        </w:rPr>
        <w:t>t minimum:</w:t>
      </w:r>
    </w:p>
    <w:p w:rsidR="68D6F5DD" w:rsidP="4D9D1C34" w:rsidRDefault="68D6F5DD" w14:paraId="013F83A2" w14:textId="0EB2E91A">
      <w:pPr>
        <w:pStyle w:val="ListParagraph"/>
        <w:numPr>
          <w:ilvl w:val="1"/>
          <w:numId w:val="1"/>
        </w:numPr>
        <w:spacing w:after="0" w:line="264" w:lineRule="auto"/>
        <w:ind w:left="1440" w:hanging="360"/>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pPr>
      <w:r w:rsidRPr="4D9D1C34" w:rsidR="68D6F5DD">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 xml:space="preserve">Survivor-centered care </w:t>
      </w:r>
    </w:p>
    <w:p w:rsidR="68D6F5DD" w:rsidP="4D9D1C34" w:rsidRDefault="68D6F5DD" w14:paraId="592D5C6F" w14:textId="047C65E0">
      <w:pPr>
        <w:pStyle w:val="ListParagraph"/>
        <w:numPr>
          <w:ilvl w:val="1"/>
          <w:numId w:val="1"/>
        </w:numPr>
        <w:spacing w:after="0" w:line="264" w:lineRule="auto"/>
        <w:ind w:left="1440" w:hanging="360"/>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pPr>
      <w:r w:rsidRPr="4D9D1C34" w:rsidR="68D6F5DD">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GBV response (i.e.: WHO’s LIVES approach)</w:t>
      </w:r>
    </w:p>
    <w:p w:rsidR="68D6F5DD" w:rsidP="4D9D1C34" w:rsidRDefault="68D6F5DD" w14:paraId="63F23F5B" w14:textId="052EBB43">
      <w:pPr>
        <w:pStyle w:val="ListParagraph"/>
        <w:numPr>
          <w:ilvl w:val="1"/>
          <w:numId w:val="1"/>
        </w:numPr>
        <w:spacing w:after="0" w:line="264" w:lineRule="auto"/>
        <w:ind w:left="1440" w:hanging="360"/>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pPr>
      <w:r w:rsidRPr="4D9D1C34" w:rsidR="68D6F5DD">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Clinical care of sexual assault (CCSA)</w:t>
      </w:r>
    </w:p>
    <w:p w:rsidR="00774CF8" w:rsidP="00774CF8" w:rsidRDefault="00774CF8" w14:paraId="12B39D19" w14:textId="77777777">
      <w:pPr>
        <w:spacing w:after="0" w:line="264" w:lineRule="auto"/>
      </w:pPr>
    </w:p>
    <w:p w:rsidRPr="00993304" w:rsidR="00774CF8" w:rsidP="00774CF8" w:rsidRDefault="00774CF8" w14:paraId="0F9E732B" w14:textId="77777777">
      <w:pPr>
        <w:spacing w:after="0" w:line="264" w:lineRule="auto"/>
        <w:rPr>
          <w:b w:val="1"/>
          <w:bCs w:val="1"/>
        </w:rPr>
      </w:pPr>
      <w:r w:rsidRPr="55032B6B" w:rsidR="10DFB9DC">
        <w:rPr>
          <w:b w:val="1"/>
          <w:bCs w:val="1"/>
        </w:rPr>
        <w:t>POLICIES</w:t>
      </w:r>
    </w:p>
    <w:p w:rsidR="00774CF8" w:rsidP="00774CF8" w:rsidRDefault="00774CF8" w14:paraId="4CB4FD1B" w14:textId="77777777">
      <w:pPr>
        <w:spacing w:after="0" w:line="264" w:lineRule="auto"/>
      </w:pPr>
    </w:p>
    <w:p w:rsidR="00774CF8" w:rsidP="00774CF8" w:rsidRDefault="00774CF8" w14:paraId="565ECF65" w14:textId="77777777">
      <w:pPr>
        <w:pStyle w:val="ListParagraph"/>
        <w:numPr>
          <w:ilvl w:val="0"/>
          <w:numId w:val="2"/>
        </w:numPr>
        <w:spacing w:after="0" w:line="264" w:lineRule="auto"/>
        <w:rPr/>
      </w:pPr>
      <w:r w:rsidR="00774CF8">
        <w:rPr/>
        <w:t xml:space="preserve">Develop and/or standardize protocols and policies for VAWG-related health programming that ensure confidential, </w:t>
      </w:r>
      <w:r w:rsidR="00774CF8">
        <w:rPr/>
        <w:t>compassionate</w:t>
      </w:r>
      <w:r w:rsidR="00774CF8">
        <w:rPr/>
        <w:t xml:space="preserve"> and quality care of survivors and referral pathways for multi-sectoral support</w:t>
      </w:r>
    </w:p>
    <w:p w:rsidR="55032B6B" w:rsidP="55032B6B" w:rsidRDefault="55032B6B" w14:paraId="67B60E64" w14:textId="16CE10D1">
      <w:pPr>
        <w:pStyle w:val="Normal"/>
        <w:spacing w:after="0" w:line="264" w:lineRule="auto"/>
      </w:pPr>
    </w:p>
    <w:p w:rsidR="006E6B8C" w:rsidP="00774CF8" w:rsidRDefault="00774CF8" w14:paraId="00660C02" w14:textId="67B749FF">
      <w:pPr>
        <w:pStyle w:val="ListParagraph"/>
        <w:numPr>
          <w:ilvl w:val="0"/>
          <w:numId w:val="2"/>
        </w:numPr>
        <w:spacing w:after="0" w:line="264" w:lineRule="auto"/>
      </w:pPr>
      <w:r>
        <w:t>Advocate for the reform of national and local laws and policies that hinder survivors or those at risk of VAWG from accessing quality health care and other services, and allocate funding for sustainability</w:t>
      </w:r>
    </w:p>
    <w:sectPr w:rsidR="006E6B8C" w:rsidSect="001322D3">
      <w:pgSz w:w="12240" w:h="15840" w:orient="portrait"/>
      <w:pgMar w:top="1440" w:right="1440" w:bottom="1440" w:left="1440" w:header="720" w:footer="720" w:gutter="0"/>
      <w:cols w:space="720"/>
      <w:docGrid w:linePitch="360"/>
      <w:titlePg w:val="1"/>
      <w:headerReference w:type="default" r:id="R6b9c4b6f3bca4334"/>
      <w:headerReference w:type="first" r:id="R766da6c0526e4377"/>
      <w:footerReference w:type="default" r:id="R4a9ffe526f1b43f0"/>
      <w:footerReference w:type="first" r:id="R0d1833bd0aa54d1a"/>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5032B6B" w:rsidTr="55032B6B" w14:paraId="10496918">
      <w:trPr>
        <w:trHeight w:val="300"/>
      </w:trPr>
      <w:tc>
        <w:tcPr>
          <w:tcW w:w="3120" w:type="dxa"/>
          <w:tcMar/>
        </w:tcPr>
        <w:p w:rsidR="55032B6B" w:rsidP="55032B6B" w:rsidRDefault="55032B6B" w14:paraId="262B8CD5" w14:textId="17F7D205">
          <w:pPr>
            <w:pStyle w:val="Header"/>
            <w:bidi w:val="0"/>
            <w:ind w:left="-115"/>
            <w:jc w:val="left"/>
          </w:pPr>
        </w:p>
      </w:tc>
      <w:tc>
        <w:tcPr>
          <w:tcW w:w="3120" w:type="dxa"/>
          <w:tcMar/>
        </w:tcPr>
        <w:p w:rsidR="55032B6B" w:rsidP="55032B6B" w:rsidRDefault="55032B6B" w14:paraId="0ACC4561" w14:textId="23E88D66">
          <w:pPr>
            <w:pStyle w:val="Header"/>
            <w:bidi w:val="0"/>
            <w:jc w:val="center"/>
          </w:pPr>
        </w:p>
      </w:tc>
      <w:tc>
        <w:tcPr>
          <w:tcW w:w="3120" w:type="dxa"/>
          <w:tcMar/>
        </w:tcPr>
        <w:p w:rsidR="55032B6B" w:rsidP="55032B6B" w:rsidRDefault="55032B6B" w14:paraId="61A609FF" w14:textId="1ABAB2F2">
          <w:pPr>
            <w:pStyle w:val="Header"/>
            <w:bidi w:val="0"/>
            <w:ind w:right="-115"/>
            <w:jc w:val="right"/>
          </w:pPr>
        </w:p>
      </w:tc>
    </w:tr>
  </w:tbl>
  <w:p w:rsidR="55032B6B" w:rsidP="55032B6B" w:rsidRDefault="55032B6B" w14:paraId="063C7D0D" w14:textId="5EF3A82D">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5032B6B" w:rsidTr="55032B6B" w14:paraId="14FF41CC">
      <w:trPr>
        <w:trHeight w:val="300"/>
      </w:trPr>
      <w:tc>
        <w:tcPr>
          <w:tcW w:w="3120" w:type="dxa"/>
          <w:tcMar/>
        </w:tcPr>
        <w:p w:rsidR="55032B6B" w:rsidP="55032B6B" w:rsidRDefault="55032B6B" w14:paraId="28C394D9" w14:textId="4995A57D">
          <w:pPr>
            <w:pStyle w:val="Header"/>
            <w:bidi w:val="0"/>
            <w:ind w:left="-115"/>
            <w:jc w:val="left"/>
          </w:pPr>
        </w:p>
      </w:tc>
      <w:tc>
        <w:tcPr>
          <w:tcW w:w="3120" w:type="dxa"/>
          <w:tcMar/>
        </w:tcPr>
        <w:p w:rsidR="55032B6B" w:rsidP="55032B6B" w:rsidRDefault="55032B6B" w14:paraId="6382BA48" w14:textId="1B546ED2">
          <w:pPr>
            <w:pStyle w:val="Header"/>
            <w:bidi w:val="0"/>
            <w:jc w:val="center"/>
          </w:pPr>
        </w:p>
      </w:tc>
      <w:tc>
        <w:tcPr>
          <w:tcW w:w="3120" w:type="dxa"/>
          <w:tcMar/>
        </w:tcPr>
        <w:p w:rsidR="55032B6B" w:rsidP="55032B6B" w:rsidRDefault="55032B6B" w14:paraId="085EA38C" w14:textId="5FFAF449">
          <w:pPr>
            <w:pStyle w:val="Header"/>
            <w:bidi w:val="0"/>
            <w:ind w:right="-115"/>
            <w:jc w:val="right"/>
          </w:pPr>
        </w:p>
      </w:tc>
    </w:tr>
  </w:tbl>
  <w:p w:rsidR="55032B6B" w:rsidP="55032B6B" w:rsidRDefault="55032B6B" w14:paraId="5CCBAB3F" w14:textId="76248C8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5032B6B" w:rsidTr="55032B6B" w14:paraId="1D61B175">
      <w:trPr>
        <w:trHeight w:val="300"/>
      </w:trPr>
      <w:tc>
        <w:tcPr>
          <w:tcW w:w="3120" w:type="dxa"/>
          <w:tcMar/>
        </w:tcPr>
        <w:p w:rsidR="55032B6B" w:rsidP="55032B6B" w:rsidRDefault="55032B6B" w14:paraId="0540583D" w14:textId="2D9F3F71">
          <w:pPr>
            <w:pStyle w:val="Header"/>
            <w:bidi w:val="0"/>
            <w:ind w:left="-115"/>
            <w:jc w:val="left"/>
          </w:pPr>
        </w:p>
      </w:tc>
      <w:tc>
        <w:tcPr>
          <w:tcW w:w="3120" w:type="dxa"/>
          <w:tcMar/>
        </w:tcPr>
        <w:p w:rsidR="55032B6B" w:rsidP="55032B6B" w:rsidRDefault="55032B6B" w14:paraId="31DD9D95" w14:textId="094A002C">
          <w:pPr>
            <w:pStyle w:val="Header"/>
            <w:bidi w:val="0"/>
            <w:jc w:val="center"/>
          </w:pPr>
        </w:p>
      </w:tc>
      <w:tc>
        <w:tcPr>
          <w:tcW w:w="3120" w:type="dxa"/>
          <w:tcMar/>
        </w:tcPr>
        <w:p w:rsidR="55032B6B" w:rsidP="55032B6B" w:rsidRDefault="55032B6B" w14:paraId="6520F6CA" w14:textId="6A835275">
          <w:pPr>
            <w:pStyle w:val="Header"/>
            <w:bidi w:val="0"/>
            <w:ind w:right="-115"/>
            <w:jc w:val="right"/>
          </w:pPr>
        </w:p>
      </w:tc>
    </w:tr>
  </w:tbl>
  <w:p w:rsidR="55032B6B" w:rsidP="55032B6B" w:rsidRDefault="55032B6B" w14:paraId="0D1AE405" w14:textId="13305DC5">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55032B6B" w:rsidTr="55032B6B" w14:paraId="3FF86653">
      <w:trPr>
        <w:trHeight w:val="300"/>
      </w:trPr>
      <w:tc>
        <w:tcPr>
          <w:tcW w:w="9360" w:type="dxa"/>
          <w:tcMar/>
        </w:tcPr>
        <w:p w:rsidR="55032B6B" w:rsidP="55032B6B" w:rsidRDefault="55032B6B" w14:paraId="31177F30" w14:textId="7C3AAF9D">
          <w:pPr>
            <w:pStyle w:val="Header"/>
            <w:bidi w:val="0"/>
            <w:ind w:left="-115"/>
            <w:jc w:val="left"/>
          </w:pPr>
          <w:r w:rsidR="55032B6B">
            <w:drawing>
              <wp:inline wp14:editId="58C7C02F" wp14:anchorId="20D42B47">
                <wp:extent cx="5810250" cy="762000"/>
                <wp:effectExtent l="0" t="0" r="0" b="0"/>
                <wp:docPr id="17681002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768100239" name="Picture 176810023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6614807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55032B6B" w:rsidP="55032B6B" w:rsidRDefault="55032B6B" w14:paraId="5132788B" w14:textId="3EE22EB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97B79"/>
    <w:multiLevelType w:val="hybridMultilevel"/>
    <w:tmpl w:val="D25813EA"/>
    <w:lvl w:ilvl="0" w:tplc="ACB2B0D0">
      <w:start w:val="16"/>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EBD1101"/>
    <w:multiLevelType w:val="hybridMultilevel"/>
    <w:tmpl w:val="444EF04E"/>
    <w:lvl w:ilvl="0" w:tplc="ACB2B0D0">
      <w:start w:val="16"/>
      <w:numFmt w:val="bullet"/>
      <w:lvlText w:val="•"/>
      <w:lvlJc w:val="left"/>
      <w:pPr>
        <w:ind w:left="720" w:hanging="36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9495165">
    <w:abstractNumId w:val="1"/>
  </w:num>
  <w:num w:numId="2" w16cid:durableId="284846889">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F8"/>
    <w:rsid w:val="000C3289"/>
    <w:rsid w:val="001322D3"/>
    <w:rsid w:val="0014453F"/>
    <w:rsid w:val="00584896"/>
    <w:rsid w:val="006E6B8C"/>
    <w:rsid w:val="00757634"/>
    <w:rsid w:val="00774CF8"/>
    <w:rsid w:val="00A863B7"/>
    <w:rsid w:val="00D0059F"/>
    <w:rsid w:val="0DCEC316"/>
    <w:rsid w:val="10DFB9DC"/>
    <w:rsid w:val="1759F203"/>
    <w:rsid w:val="20EF04CE"/>
    <w:rsid w:val="23C48810"/>
    <w:rsid w:val="24098F77"/>
    <w:rsid w:val="29A04EC0"/>
    <w:rsid w:val="34446468"/>
    <w:rsid w:val="3DC06E7C"/>
    <w:rsid w:val="3FFA9F72"/>
    <w:rsid w:val="4D9D1C34"/>
    <w:rsid w:val="503F0140"/>
    <w:rsid w:val="52BC80B9"/>
    <w:rsid w:val="53A4F18A"/>
    <w:rsid w:val="55032B6B"/>
    <w:rsid w:val="55B77606"/>
    <w:rsid w:val="5B450127"/>
    <w:rsid w:val="64755778"/>
    <w:rsid w:val="6797F738"/>
    <w:rsid w:val="68D6F5DD"/>
    <w:rsid w:val="6936D30F"/>
    <w:rsid w:val="6B0001BF"/>
    <w:rsid w:val="70CA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AD3C56"/>
  <w15:chartTrackingRefBased/>
  <w15:docId w15:val="{024E970E-F4D3-6947-B0B9-BA646637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4CF8"/>
  </w:style>
  <w:style w:type="paragraph" w:styleId="Heading1">
    <w:name w:val="heading 1"/>
    <w:basedOn w:val="Normal"/>
    <w:next w:val="Normal"/>
    <w:link w:val="Heading1Char"/>
    <w:uiPriority w:val="9"/>
    <w:qFormat/>
    <w:rsid w:val="00774CF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CF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C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C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C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C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74CF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74CF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74CF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74CF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74CF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74C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74C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74C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74CF8"/>
    <w:rPr>
      <w:rFonts w:eastAsiaTheme="majorEastAsia" w:cstheme="majorBidi"/>
      <w:color w:val="272727" w:themeColor="text1" w:themeTint="D8"/>
    </w:rPr>
  </w:style>
  <w:style w:type="paragraph" w:styleId="Title">
    <w:name w:val="Title"/>
    <w:basedOn w:val="Normal"/>
    <w:next w:val="Normal"/>
    <w:link w:val="TitleChar"/>
    <w:uiPriority w:val="10"/>
    <w:qFormat/>
    <w:rsid w:val="00774C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74C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74C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74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CF8"/>
    <w:pPr>
      <w:spacing w:before="160"/>
      <w:jc w:val="center"/>
    </w:pPr>
    <w:rPr>
      <w:i/>
      <w:iCs/>
      <w:color w:val="404040" w:themeColor="text1" w:themeTint="BF"/>
    </w:rPr>
  </w:style>
  <w:style w:type="character" w:styleId="QuoteChar" w:customStyle="1">
    <w:name w:val="Quote Char"/>
    <w:basedOn w:val="DefaultParagraphFont"/>
    <w:link w:val="Quote"/>
    <w:uiPriority w:val="29"/>
    <w:rsid w:val="00774CF8"/>
    <w:rPr>
      <w:i/>
      <w:iCs/>
      <w:color w:val="404040" w:themeColor="text1" w:themeTint="BF"/>
    </w:rPr>
  </w:style>
  <w:style w:type="paragraph" w:styleId="ListParagraph">
    <w:name w:val="List Paragraph"/>
    <w:basedOn w:val="Normal"/>
    <w:uiPriority w:val="34"/>
    <w:qFormat/>
    <w:rsid w:val="00774CF8"/>
    <w:pPr>
      <w:ind w:left="720"/>
      <w:contextualSpacing/>
    </w:pPr>
  </w:style>
  <w:style w:type="character" w:styleId="IntenseEmphasis">
    <w:name w:val="Intense Emphasis"/>
    <w:basedOn w:val="DefaultParagraphFont"/>
    <w:uiPriority w:val="21"/>
    <w:qFormat/>
    <w:rsid w:val="00774CF8"/>
    <w:rPr>
      <w:i/>
      <w:iCs/>
      <w:color w:val="0F4761" w:themeColor="accent1" w:themeShade="BF"/>
    </w:rPr>
  </w:style>
  <w:style w:type="paragraph" w:styleId="IntenseQuote">
    <w:name w:val="Intense Quote"/>
    <w:basedOn w:val="Normal"/>
    <w:next w:val="Normal"/>
    <w:link w:val="IntenseQuoteChar"/>
    <w:uiPriority w:val="30"/>
    <w:qFormat/>
    <w:rsid w:val="00774CF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74CF8"/>
    <w:rPr>
      <w:i/>
      <w:iCs/>
      <w:color w:val="0F4761" w:themeColor="accent1" w:themeShade="BF"/>
    </w:rPr>
  </w:style>
  <w:style w:type="character" w:styleId="IntenseReference">
    <w:name w:val="Intense Reference"/>
    <w:basedOn w:val="DefaultParagraphFont"/>
    <w:uiPriority w:val="32"/>
    <w:qFormat/>
    <w:rsid w:val="00774CF8"/>
    <w:rPr>
      <w:b/>
      <w:bCs/>
      <w:smallCaps/>
      <w:color w:val="0F4761" w:themeColor="accent1" w:themeShade="BF"/>
      <w:spacing w:val="5"/>
    </w:rPr>
  </w:style>
  <w:style w:type="character" w:styleId="Hyperlink">
    <w:uiPriority w:val="99"/>
    <w:name w:val="Hyperlink"/>
    <w:basedOn w:val="DefaultParagraphFont"/>
    <w:unhideWhenUsed/>
    <w:rsid w:val="4D9D1C34"/>
    <w:rPr>
      <w:color w:val="467886"/>
      <w:u w:val="single"/>
    </w:rPr>
  </w:style>
  <w:style w:type="paragraph" w:styleId="Header">
    <w:uiPriority w:val="99"/>
    <w:name w:val="header"/>
    <w:basedOn w:val="Normal"/>
    <w:unhideWhenUsed/>
    <w:rsid w:val="55032B6B"/>
    <w:pPr>
      <w:tabs>
        <w:tab w:val="center" w:leader="none" w:pos="4680"/>
        <w:tab w:val="right" w:leader="none" w:pos="9360"/>
      </w:tabs>
      <w:spacing w:after="0" w:line="240" w:lineRule="auto"/>
    </w:pPr>
  </w:style>
  <w:style w:type="paragraph" w:styleId="Footer">
    <w:uiPriority w:val="99"/>
    <w:name w:val="footer"/>
    <w:basedOn w:val="Normal"/>
    <w:unhideWhenUsed/>
    <w:rsid w:val="55032B6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11/relationships/people" Target="people.xml" Id="Rf9b808fb06734369" /><Relationship Type="http://schemas.microsoft.com/office/2011/relationships/commentsExtended" Target="commentsExtended.xml" Id="Ra63dad4650644181" /><Relationship Type="http://schemas.microsoft.com/office/2016/09/relationships/commentsIds" Target="commentsIds.xml" Id="R830b00e3b077490c" /><Relationship Type="http://schemas.openxmlformats.org/officeDocument/2006/relationships/hyperlink" Target="https://iawg.net/resources/minimum-initial-service-package-misp-resources" TargetMode="External" Id="Ra1ec91fafa574fd8" /><Relationship Type="http://schemas.openxmlformats.org/officeDocument/2006/relationships/header" Target="header.xml" Id="R6b9c4b6f3bca4334" /><Relationship Type="http://schemas.openxmlformats.org/officeDocument/2006/relationships/header" Target="header2.xml" Id="R766da6c0526e4377" /><Relationship Type="http://schemas.openxmlformats.org/officeDocument/2006/relationships/footer" Target="footer.xml" Id="R4a9ffe526f1b43f0" /><Relationship Type="http://schemas.openxmlformats.org/officeDocument/2006/relationships/footer" Target="footer2.xml" Id="R0d1833bd0aa54d1a" /></Relationships>
</file>

<file path=word/_rels/header2.xml.rels>&#65279;<?xml version="1.0" encoding="utf-8"?><Relationships xmlns="http://schemas.openxmlformats.org/package/2006/relationships"><Relationship Type="http://schemas.openxmlformats.org/officeDocument/2006/relationships/image" Target="/media/image.jpg" Id="rId96614807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4</revision>
  <dcterms:created xsi:type="dcterms:W3CDTF">2025-10-15T19:39:00.0000000Z</dcterms:created>
  <dcterms:modified xsi:type="dcterms:W3CDTF">2026-02-27T23:21:56.1517082Z</dcterms:modified>
</coreProperties>
</file>