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386EA3" w:rsidP="47FC2AE1" w:rsidRDefault="00386EA3" w14:paraId="03633989" w14:textId="200AEEA0">
      <w:pPr>
        <w:pStyle w:val="Normal"/>
        <w:spacing w:after="0" w:line="264" w:lineRule="auto"/>
        <w:rPr>
          <w:b w:val="1"/>
          <w:bCs w:val="1"/>
          <w:sz w:val="28"/>
          <w:szCs w:val="28"/>
        </w:rPr>
      </w:pPr>
      <w:r w:rsidRPr="47FC2AE1" w:rsidR="76192B50">
        <w:rPr>
          <w:b w:val="1"/>
          <w:bCs w:val="1"/>
          <w:sz w:val="28"/>
          <w:szCs w:val="28"/>
        </w:rPr>
        <w:t>ESSENTIAL VAWG RISK MITIGATION ACTIONS</w:t>
      </w:r>
      <w:r w:rsidRPr="47FC2AE1" w:rsidR="48B46F40">
        <w:rPr>
          <w:b w:val="1"/>
          <w:bCs w:val="1"/>
          <w:sz w:val="28"/>
          <w:szCs w:val="28"/>
        </w:rPr>
        <w:t xml:space="preserve"> - </w:t>
      </w:r>
      <w:r w:rsidRPr="47FC2AE1" w:rsidR="48B46F40">
        <w:rPr>
          <w:b w:val="1"/>
          <w:bCs w:val="1"/>
          <w:sz w:val="28"/>
          <w:szCs w:val="28"/>
          <w:u w:val="single"/>
        </w:rPr>
        <w:t>LIVELIHOODS</w:t>
      </w:r>
    </w:p>
    <w:p w:rsidRPr="00A56401" w:rsidR="00386EA3" w:rsidP="00386EA3" w:rsidRDefault="00386EA3" w14:paraId="10A2E5C2" w14:textId="77777777">
      <w:pPr>
        <w:spacing w:after="0" w:line="264" w:lineRule="auto"/>
        <w:rPr>
          <w:i/>
          <w:iCs/>
        </w:rPr>
      </w:pPr>
      <w:r w:rsidRPr="00A56401">
        <w:rPr>
          <w:i/>
          <w:iCs/>
        </w:rPr>
        <w:t>Source: IASC GBV Guidelines</w:t>
      </w:r>
    </w:p>
    <w:p w:rsidRPr="00A56401" w:rsidR="00386EA3" w:rsidP="00386EA3" w:rsidRDefault="00386EA3" w14:paraId="545504AA" w14:textId="77777777">
      <w:pPr>
        <w:spacing w:after="0" w:line="264" w:lineRule="auto"/>
      </w:pPr>
    </w:p>
    <w:p w:rsidRPr="00386EA3" w:rsidR="00386EA3" w:rsidP="00386EA3" w:rsidRDefault="00386EA3" w14:paraId="5CA0C8A5" w14:textId="77777777">
      <w:pPr>
        <w:spacing w:after="0" w:line="264" w:lineRule="auto"/>
        <w:rPr>
          <w:i/>
          <w:iCs/>
        </w:rPr>
      </w:pPr>
      <w:proofErr w:type="gramStart"/>
      <w:r w:rsidRPr="00386EA3">
        <w:rPr>
          <w:b/>
          <w:bCs/>
          <w:i/>
          <w:iCs/>
        </w:rPr>
        <w:t>Note :</w:t>
      </w:r>
      <w:proofErr w:type="gramEnd"/>
      <w:r w:rsidRPr="00386EA3">
        <w:rPr>
          <w:i/>
          <w:iCs/>
        </w:rPr>
        <w:t xml:space="preserve"> successful program implementation strategies will necessarily be dependent on the specific context in which you’re working. The precise intervention that may be successful in improving the safety of access to markets by displaced women may not have the same impact as working with host communities and local authorities to reduce competition over access to employment opportunities in mixed IDP/host communities, for example. For that reason, the examples provided in this toolkit are not prescriptive: we cannot tell you exactly what will work in your specific context.  </w:t>
      </w:r>
    </w:p>
    <w:p w:rsidRPr="00386EA3" w:rsidR="00386EA3" w:rsidP="00386EA3" w:rsidRDefault="00386EA3" w14:paraId="1F3E4872" w14:textId="77777777">
      <w:pPr>
        <w:spacing w:after="0" w:line="264" w:lineRule="auto"/>
        <w:rPr>
          <w:i/>
          <w:iCs/>
        </w:rPr>
      </w:pPr>
    </w:p>
    <w:p w:rsidRPr="00386EA3" w:rsidR="00386EA3" w:rsidP="00386EA3" w:rsidRDefault="00386EA3" w14:paraId="336E0379" w14:textId="77777777">
      <w:pPr>
        <w:spacing w:after="0" w:line="264" w:lineRule="auto"/>
        <w:rPr>
          <w:i/>
          <w:iCs/>
        </w:rPr>
      </w:pPr>
      <w:r w:rsidRPr="00386EA3">
        <w:rPr>
          <w:i/>
          <w:iCs/>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Pr="002A6BB6" w:rsidR="00386EA3" w:rsidP="00386EA3" w:rsidRDefault="00386EA3" w14:paraId="1E880C6E" w14:textId="77777777">
      <w:pPr>
        <w:spacing w:after="0" w:line="264" w:lineRule="auto"/>
      </w:pPr>
    </w:p>
    <w:p w:rsidRPr="006C112E" w:rsidR="00386EA3" w:rsidP="00386EA3" w:rsidRDefault="00386EA3" w14:paraId="645198C6" w14:textId="77777777">
      <w:pPr>
        <w:spacing w:after="0" w:line="264" w:lineRule="auto"/>
        <w:rPr>
          <w:b/>
          <w:bCs/>
        </w:rPr>
      </w:pPr>
      <w:r w:rsidRPr="006C112E">
        <w:rPr>
          <w:b/>
          <w:bCs/>
        </w:rPr>
        <w:t>PROGRAMMING</w:t>
      </w:r>
    </w:p>
    <w:p w:rsidR="00386EA3" w:rsidP="00386EA3" w:rsidRDefault="00386EA3" w14:paraId="295EC257" w14:textId="77777777">
      <w:pPr>
        <w:spacing w:after="0" w:line="264" w:lineRule="auto"/>
      </w:pPr>
    </w:p>
    <w:p w:rsidR="00386EA3" w:rsidP="00386EA3" w:rsidRDefault="00386EA3" w14:paraId="3352585A" w14:textId="77777777">
      <w:pPr>
        <w:pStyle w:val="ListParagraph"/>
        <w:numPr>
          <w:ilvl w:val="0"/>
          <w:numId w:val="1"/>
        </w:numPr>
        <w:spacing w:after="0" w:line="264" w:lineRule="auto"/>
        <w:rPr/>
      </w:pPr>
      <w:r w:rsidR="76192B50">
        <w:rPr/>
        <w:t xml:space="preserve">In consultation with women, girls, men and boys, implement livelihoods programs that are </w:t>
      </w:r>
      <w:r w:rsidRPr="47FC2AE1" w:rsidR="76192B50">
        <w:rPr>
          <w:b w:val="1"/>
          <w:bCs w:val="1"/>
        </w:rPr>
        <w:t>accessible to those at risk of VAWG</w:t>
      </w:r>
      <w:r w:rsidR="76192B50">
        <w:rPr/>
        <w:t xml:space="preserve"> (</w:t>
      </w:r>
      <w:r w:rsidR="76192B50">
        <w:rPr/>
        <w:t>e.g.</w:t>
      </w:r>
      <w:r w:rsidR="76192B50">
        <w:rPr/>
        <w:t xml:space="preserve"> address logistical and cultural obstacles that prevent their participation)</w:t>
      </w:r>
    </w:p>
    <w:p w:rsidR="47FC2AE1" w:rsidP="47FC2AE1" w:rsidRDefault="47FC2AE1" w14:paraId="48C93C57" w14:textId="31578385">
      <w:pPr>
        <w:pStyle w:val="Normal"/>
        <w:spacing w:after="0" w:line="264" w:lineRule="auto"/>
      </w:pPr>
    </w:p>
    <w:p w:rsidR="00386EA3" w:rsidP="00386EA3" w:rsidRDefault="00386EA3" w14:paraId="791438E0" w14:textId="77777777">
      <w:pPr>
        <w:pStyle w:val="ListParagraph"/>
        <w:numPr>
          <w:ilvl w:val="0"/>
          <w:numId w:val="1"/>
        </w:numPr>
        <w:spacing w:after="0" w:line="264" w:lineRule="auto"/>
      </w:pPr>
      <w:r>
        <w:t xml:space="preserve">In consultation with women, girls, men and boys, implement livelihoods programs that </w:t>
      </w:r>
      <w:r w:rsidRPr="000E6FFE">
        <w:rPr>
          <w:b/>
          <w:bCs/>
        </w:rPr>
        <w:t>minimize related risks of VAWG</w:t>
      </w:r>
      <w:r>
        <w:t>. Some examples:</w:t>
      </w:r>
    </w:p>
    <w:p w:rsidR="00386EA3" w:rsidP="00386EA3" w:rsidRDefault="00386EA3" w14:paraId="17D6F4D2" w14:textId="77777777">
      <w:pPr>
        <w:pStyle w:val="ListParagraph"/>
        <w:numPr>
          <w:ilvl w:val="1"/>
          <w:numId w:val="1"/>
        </w:numPr>
        <w:spacing w:after="0" w:line="264" w:lineRule="auto"/>
      </w:pPr>
      <w:r>
        <w:t xml:space="preserve">Sensitize community members about </w:t>
      </w:r>
      <w:proofErr w:type="gramStart"/>
      <w:r>
        <w:t>GBV;</w:t>
      </w:r>
      <w:proofErr w:type="gramEnd"/>
    </w:p>
    <w:p w:rsidR="00386EA3" w:rsidP="00386EA3" w:rsidRDefault="00386EA3" w14:paraId="2C7AD11D" w14:textId="77777777">
      <w:pPr>
        <w:pStyle w:val="ListParagraph"/>
        <w:numPr>
          <w:ilvl w:val="1"/>
          <w:numId w:val="1"/>
        </w:numPr>
        <w:spacing w:after="0" w:line="264" w:lineRule="auto"/>
      </w:pPr>
      <w:r>
        <w:t xml:space="preserve">Work with local authorities to increase security </w:t>
      </w:r>
      <w:proofErr w:type="gramStart"/>
      <w:r>
        <w:t>measures;</w:t>
      </w:r>
      <w:proofErr w:type="gramEnd"/>
      <w:r>
        <w:t xml:space="preserve"> </w:t>
      </w:r>
    </w:p>
    <w:p w:rsidR="00386EA3" w:rsidP="00386EA3" w:rsidRDefault="00386EA3" w14:paraId="7EB5218B" w14:textId="77777777">
      <w:pPr>
        <w:pStyle w:val="ListParagraph"/>
        <w:numPr>
          <w:ilvl w:val="1"/>
          <w:numId w:val="1"/>
        </w:numPr>
        <w:spacing w:after="0" w:line="264" w:lineRule="auto"/>
      </w:pPr>
      <w:r>
        <w:t xml:space="preserve">Engage men and boys as supportive partners through workshops and discussions on gender </w:t>
      </w:r>
      <w:proofErr w:type="gramStart"/>
      <w:r>
        <w:t>issues;</w:t>
      </w:r>
      <w:proofErr w:type="gramEnd"/>
      <w:r>
        <w:t xml:space="preserve"> </w:t>
      </w:r>
    </w:p>
    <w:p w:rsidR="00386EA3" w:rsidP="00386EA3" w:rsidRDefault="00386EA3" w14:paraId="05D4D3CD" w14:textId="77777777">
      <w:pPr>
        <w:pStyle w:val="ListParagraph"/>
        <w:numPr>
          <w:ilvl w:val="1"/>
          <w:numId w:val="1"/>
        </w:numPr>
        <w:spacing w:after="0" w:line="264" w:lineRule="auto"/>
      </w:pPr>
      <w:r>
        <w:t xml:space="preserve">Work with receptor or host communities to reduce competition over employment or natural </w:t>
      </w:r>
      <w:proofErr w:type="gramStart"/>
      <w:r>
        <w:t>resources;</w:t>
      </w:r>
      <w:proofErr w:type="gramEnd"/>
      <w:r>
        <w:t xml:space="preserve"> </w:t>
      </w:r>
    </w:p>
    <w:p w:rsidRPr="00A503A2" w:rsidR="00386EA3" w:rsidP="00386EA3" w:rsidRDefault="00386EA3" w14:paraId="50CE0E27" w14:textId="77777777">
      <w:pPr>
        <w:pStyle w:val="ListParagraph"/>
        <w:numPr>
          <w:ilvl w:val="1"/>
          <w:numId w:val="1"/>
        </w:numPr>
        <w:spacing w:after="0" w:line="264" w:lineRule="auto"/>
        <w:rPr>
          <w:i/>
          <w:iCs/>
        </w:rPr>
      </w:pPr>
      <w:r w:rsidRPr="47FC2AE1" w:rsidR="76192B50">
        <w:rPr>
          <w:i w:val="1"/>
          <w:iCs w:val="1"/>
        </w:rPr>
        <w:t>Other according to context</w:t>
      </w:r>
    </w:p>
    <w:p w:rsidR="47FC2AE1" w:rsidP="47FC2AE1" w:rsidRDefault="47FC2AE1" w14:paraId="1B114C48" w14:textId="6DDA00ED">
      <w:pPr>
        <w:pStyle w:val="Normal"/>
        <w:spacing w:after="0" w:line="264" w:lineRule="auto"/>
        <w:rPr>
          <w:i w:val="1"/>
          <w:iCs w:val="1"/>
        </w:rPr>
      </w:pPr>
    </w:p>
    <w:p w:rsidR="00386EA3" w:rsidP="00386EA3" w:rsidRDefault="00386EA3" w14:paraId="0C01CE3B" w14:textId="77777777">
      <w:pPr>
        <w:pStyle w:val="ListParagraph"/>
        <w:numPr>
          <w:ilvl w:val="0"/>
          <w:numId w:val="1"/>
        </w:numPr>
        <w:spacing w:after="0" w:line="264" w:lineRule="auto"/>
        <w:rPr/>
      </w:pPr>
      <w:r w:rsidR="76192B50">
        <w:rPr/>
        <w:t xml:space="preserve">Promote the </w:t>
      </w:r>
      <w:r w:rsidRPr="47FC2AE1" w:rsidR="76192B50">
        <w:rPr>
          <w:b w:val="1"/>
          <w:bCs w:val="1"/>
        </w:rPr>
        <w:t>economic and professional empowerment of participants</w:t>
      </w:r>
      <w:r w:rsidR="76192B50">
        <w:rPr/>
        <w:t xml:space="preserve"> through business development, agricultural trainings, value chain integration, vocational skills training, capacity-</w:t>
      </w:r>
      <w:r w:rsidR="76192B50">
        <w:rPr/>
        <w:t>building</w:t>
      </w:r>
      <w:r w:rsidR="76192B50">
        <w:rPr/>
        <w:t xml:space="preserve"> and education</w:t>
      </w:r>
    </w:p>
    <w:p w:rsidR="47FC2AE1" w:rsidP="47FC2AE1" w:rsidRDefault="47FC2AE1" w14:paraId="7255E653" w14:textId="0B111060">
      <w:pPr>
        <w:pStyle w:val="Normal"/>
        <w:spacing w:after="0" w:line="264" w:lineRule="auto"/>
      </w:pPr>
    </w:p>
    <w:p w:rsidR="00386EA3" w:rsidP="47FC2AE1" w:rsidRDefault="00386EA3" w14:paraId="3C515BAA" w14:textId="77777777">
      <w:pPr>
        <w:pStyle w:val="ListParagraph"/>
        <w:numPr>
          <w:ilvl w:val="0"/>
          <w:numId w:val="1"/>
        </w:numPr>
        <w:spacing w:after="0" w:line="264" w:lineRule="auto"/>
        <w:rPr>
          <w:b w:val="1"/>
          <w:bCs w:val="1"/>
        </w:rPr>
      </w:pPr>
      <w:r w:rsidR="76192B50">
        <w:rPr/>
        <w:t xml:space="preserve">Implement strategies that </w:t>
      </w:r>
      <w:r w:rsidRPr="47FC2AE1" w:rsidR="76192B50">
        <w:rPr>
          <w:b w:val="1"/>
          <w:bCs w:val="1"/>
        </w:rPr>
        <w:t>allow participants to control their assets in ways that mitigate the risk of theft or financial exploitation</w:t>
      </w:r>
    </w:p>
    <w:p w:rsidR="47FC2AE1" w:rsidP="47FC2AE1" w:rsidRDefault="47FC2AE1" w14:paraId="124260C9" w14:textId="3DD65159">
      <w:pPr>
        <w:pStyle w:val="Normal"/>
        <w:spacing w:after="0" w:line="264" w:lineRule="auto"/>
        <w:rPr>
          <w:b w:val="1"/>
          <w:bCs w:val="1"/>
        </w:rPr>
      </w:pPr>
    </w:p>
    <w:p w:rsidR="000E6FFE" w:rsidP="00386EA3" w:rsidRDefault="00386EA3" w14:paraId="59F4C767" w14:textId="77777777">
      <w:pPr>
        <w:pStyle w:val="ListParagraph"/>
        <w:numPr>
          <w:ilvl w:val="0"/>
          <w:numId w:val="1"/>
        </w:numPr>
        <w:spacing w:after="0" w:line="264" w:lineRule="auto"/>
      </w:pPr>
      <w:r>
        <w:t xml:space="preserve">Implement all livelihoods programs within the framework of </w:t>
      </w:r>
      <w:r w:rsidRPr="000E6FFE">
        <w:rPr>
          <w:b/>
          <w:bCs/>
        </w:rPr>
        <w:t xml:space="preserve">building sustainable livelihoods </w:t>
      </w:r>
      <w:r>
        <w:t>that are ongoing beyond the crisis stage</w:t>
      </w:r>
      <w:r w:rsidR="000E6FFE">
        <w:t>. For example:</w:t>
      </w:r>
    </w:p>
    <w:p w:rsidR="000E6FFE" w:rsidP="000E6FFE" w:rsidRDefault="000E6FFE" w14:paraId="79B978B4" w14:textId="77777777">
      <w:pPr>
        <w:pStyle w:val="ListParagraph"/>
        <w:numPr>
          <w:ilvl w:val="1"/>
          <w:numId w:val="1"/>
        </w:numPr>
        <w:spacing w:after="0" w:line="264" w:lineRule="auto"/>
      </w:pPr>
      <w:r>
        <w:t>D</w:t>
      </w:r>
      <w:r w:rsidR="00386EA3">
        <w:t xml:space="preserve">evelop </w:t>
      </w:r>
      <w:proofErr w:type="gramStart"/>
      <w:r w:rsidR="00386EA3">
        <w:t>culturally</w:t>
      </w:r>
      <w:r>
        <w:t>-</w:t>
      </w:r>
      <w:r w:rsidR="00386EA3">
        <w:t>sensitive</w:t>
      </w:r>
      <w:proofErr w:type="gramEnd"/>
      <w:r w:rsidR="00386EA3">
        <w:t xml:space="preserve"> exit strategies to lessen the risks of </w:t>
      </w:r>
      <w:proofErr w:type="gramStart"/>
      <w:r>
        <w:t>VAWG</w:t>
      </w:r>
      <w:r w:rsidR="00386EA3">
        <w:t>;</w:t>
      </w:r>
      <w:proofErr w:type="gramEnd"/>
      <w:r w:rsidR="00386EA3">
        <w:t xml:space="preserve"> </w:t>
      </w:r>
    </w:p>
    <w:p w:rsidR="00386EA3" w:rsidP="000E6FFE" w:rsidRDefault="000E6FFE" w14:paraId="1836655F" w14:textId="2286B561">
      <w:pPr>
        <w:pStyle w:val="ListParagraph"/>
        <w:numPr>
          <w:ilvl w:val="1"/>
          <w:numId w:val="1"/>
        </w:numPr>
        <w:spacing w:after="0" w:line="264" w:lineRule="auto"/>
      </w:pPr>
      <w:r>
        <w:lastRenderedPageBreak/>
        <w:t>L</w:t>
      </w:r>
      <w:r w:rsidR="00386EA3">
        <w:t xml:space="preserve">ink short-term livelihoods programs with longer-term economic empowerment </w:t>
      </w:r>
      <w:proofErr w:type="gramStart"/>
      <w:r w:rsidR="00386EA3">
        <w:t>strategies</w:t>
      </w:r>
      <w:r>
        <w:t>;</w:t>
      </w:r>
      <w:proofErr w:type="gramEnd"/>
    </w:p>
    <w:p w:rsidRPr="000E6FFE" w:rsidR="000E6FFE" w:rsidP="000E6FFE" w:rsidRDefault="000E6FFE" w14:paraId="1D39DA8A" w14:textId="3C598417">
      <w:pPr>
        <w:pStyle w:val="ListParagraph"/>
        <w:numPr>
          <w:ilvl w:val="1"/>
          <w:numId w:val="1"/>
        </w:numPr>
        <w:spacing w:after="0" w:line="264" w:lineRule="auto"/>
        <w:rPr>
          <w:i/>
          <w:iCs/>
        </w:rPr>
      </w:pPr>
      <w:r w:rsidRPr="000E6FFE">
        <w:rPr>
          <w:i/>
          <w:iCs/>
        </w:rPr>
        <w:t>Other according to context</w:t>
      </w:r>
    </w:p>
    <w:p w:rsidR="00386EA3" w:rsidP="00386EA3" w:rsidRDefault="00386EA3" w14:paraId="79DBB477" w14:textId="77777777">
      <w:pPr>
        <w:spacing w:after="0" w:line="264" w:lineRule="auto"/>
        <w:ind w:left="360"/>
      </w:pPr>
    </w:p>
    <w:p w:rsidRPr="006C112E" w:rsidR="00386EA3" w:rsidP="00386EA3" w:rsidRDefault="00386EA3" w14:paraId="7CA739F4" w14:textId="77777777">
      <w:pPr>
        <w:spacing w:after="0" w:line="264" w:lineRule="auto"/>
        <w:rPr>
          <w:b/>
          <w:bCs/>
        </w:rPr>
      </w:pPr>
      <w:r w:rsidRPr="006C112E">
        <w:rPr>
          <w:b/>
          <w:bCs/>
        </w:rPr>
        <w:t>POLICIES</w:t>
      </w:r>
    </w:p>
    <w:p w:rsidR="00386EA3" w:rsidP="00386EA3" w:rsidRDefault="00386EA3" w14:paraId="36674817" w14:textId="77777777">
      <w:pPr>
        <w:spacing w:after="0" w:line="264" w:lineRule="auto"/>
        <w:ind w:left="360"/>
      </w:pPr>
    </w:p>
    <w:p w:rsidR="00386EA3" w:rsidP="00386EA3" w:rsidRDefault="00386EA3" w14:paraId="0BE62410" w14:textId="77777777">
      <w:pPr>
        <w:pStyle w:val="ListParagraph"/>
        <w:numPr>
          <w:ilvl w:val="0"/>
          <w:numId w:val="2"/>
        </w:numPr>
        <w:spacing w:after="0" w:line="264" w:lineRule="auto"/>
      </w:pPr>
      <w:r>
        <w:t xml:space="preserve">Support the </w:t>
      </w:r>
      <w:r w:rsidRPr="000E6FFE">
        <w:rPr>
          <w:b/>
          <w:bCs/>
        </w:rPr>
        <w:t>reform of national and local laws, policies and plans that hinder women, girls and other at-risk groups from economic and professional empowerment</w:t>
      </w:r>
      <w:r>
        <w:t>, and allocate funding for sustainability</w:t>
      </w:r>
    </w:p>
    <w:p w:rsidR="006E6B8C" w:rsidRDefault="006E6B8C" w14:paraId="3B04752D" w14:textId="77777777"/>
    <w:sectPr w:rsidR="006E6B8C" w:rsidSect="001322D3">
      <w:pgSz w:w="12240" w:h="15840" w:orient="portrait"/>
      <w:pgMar w:top="1440" w:right="1440" w:bottom="1440" w:left="1440" w:header="720" w:footer="720" w:gutter="0"/>
      <w:cols w:space="720"/>
      <w:docGrid w:linePitch="360"/>
      <w:titlePg w:val="1"/>
      <w:headerReference w:type="default" r:id="R5205dc2de2ed4e0c"/>
      <w:headerReference w:type="first" r:id="Rad955c0ecffe4705"/>
      <w:footerReference w:type="default" r:id="R10569157bb924c39"/>
      <w:footerReference w:type="first" r:id="R620a151af8d54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FC2AE1" w:rsidTr="47FC2AE1" w14:paraId="6DF482AB">
      <w:trPr>
        <w:trHeight w:val="300"/>
      </w:trPr>
      <w:tc>
        <w:tcPr>
          <w:tcW w:w="3120" w:type="dxa"/>
          <w:tcMar/>
        </w:tcPr>
        <w:p w:rsidR="47FC2AE1" w:rsidP="47FC2AE1" w:rsidRDefault="47FC2AE1" w14:paraId="1CD8F50E" w14:textId="24B584F7">
          <w:pPr>
            <w:pStyle w:val="Header"/>
            <w:bidi w:val="0"/>
            <w:ind w:left="-115"/>
            <w:jc w:val="left"/>
          </w:pPr>
        </w:p>
      </w:tc>
      <w:tc>
        <w:tcPr>
          <w:tcW w:w="3120" w:type="dxa"/>
          <w:tcMar/>
        </w:tcPr>
        <w:p w:rsidR="47FC2AE1" w:rsidP="47FC2AE1" w:rsidRDefault="47FC2AE1" w14:paraId="26741547" w14:textId="221A221D">
          <w:pPr>
            <w:pStyle w:val="Header"/>
            <w:bidi w:val="0"/>
            <w:jc w:val="center"/>
          </w:pPr>
        </w:p>
      </w:tc>
      <w:tc>
        <w:tcPr>
          <w:tcW w:w="3120" w:type="dxa"/>
          <w:tcMar/>
        </w:tcPr>
        <w:p w:rsidR="47FC2AE1" w:rsidP="47FC2AE1" w:rsidRDefault="47FC2AE1" w14:paraId="44F47A05" w14:textId="3C440326">
          <w:pPr>
            <w:pStyle w:val="Header"/>
            <w:bidi w:val="0"/>
            <w:ind w:right="-115"/>
            <w:jc w:val="right"/>
          </w:pPr>
        </w:p>
      </w:tc>
    </w:tr>
  </w:tbl>
  <w:p w:rsidR="47FC2AE1" w:rsidP="47FC2AE1" w:rsidRDefault="47FC2AE1" w14:paraId="2BBA5007" w14:textId="131AF6C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FC2AE1" w:rsidTr="47FC2AE1" w14:paraId="71348144">
      <w:trPr>
        <w:trHeight w:val="300"/>
      </w:trPr>
      <w:tc>
        <w:tcPr>
          <w:tcW w:w="3120" w:type="dxa"/>
          <w:tcMar/>
        </w:tcPr>
        <w:p w:rsidR="47FC2AE1" w:rsidP="47FC2AE1" w:rsidRDefault="47FC2AE1" w14:paraId="5693CE52" w14:textId="13A329CE">
          <w:pPr>
            <w:pStyle w:val="Header"/>
            <w:bidi w:val="0"/>
            <w:ind w:left="-115"/>
            <w:jc w:val="left"/>
          </w:pPr>
        </w:p>
      </w:tc>
      <w:tc>
        <w:tcPr>
          <w:tcW w:w="3120" w:type="dxa"/>
          <w:tcMar/>
        </w:tcPr>
        <w:p w:rsidR="47FC2AE1" w:rsidP="47FC2AE1" w:rsidRDefault="47FC2AE1" w14:paraId="01529422" w14:textId="283FE94F">
          <w:pPr>
            <w:pStyle w:val="Header"/>
            <w:bidi w:val="0"/>
            <w:jc w:val="center"/>
          </w:pPr>
        </w:p>
      </w:tc>
      <w:tc>
        <w:tcPr>
          <w:tcW w:w="3120" w:type="dxa"/>
          <w:tcMar/>
        </w:tcPr>
        <w:p w:rsidR="47FC2AE1" w:rsidP="47FC2AE1" w:rsidRDefault="47FC2AE1" w14:paraId="3853F53A" w14:textId="4D1CFE48">
          <w:pPr>
            <w:pStyle w:val="Header"/>
            <w:bidi w:val="0"/>
            <w:ind w:right="-115"/>
            <w:jc w:val="right"/>
          </w:pPr>
        </w:p>
      </w:tc>
    </w:tr>
  </w:tbl>
  <w:p w:rsidR="47FC2AE1" w:rsidP="47FC2AE1" w:rsidRDefault="47FC2AE1" w14:paraId="20238107" w14:textId="731F9DB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FC2AE1" w:rsidTr="47FC2AE1" w14:paraId="6FB1A554">
      <w:trPr>
        <w:trHeight w:val="300"/>
      </w:trPr>
      <w:tc>
        <w:tcPr>
          <w:tcW w:w="3120" w:type="dxa"/>
          <w:tcMar/>
        </w:tcPr>
        <w:p w:rsidR="47FC2AE1" w:rsidP="47FC2AE1" w:rsidRDefault="47FC2AE1" w14:paraId="00428FA5" w14:textId="65B363A0">
          <w:pPr>
            <w:pStyle w:val="Header"/>
            <w:bidi w:val="0"/>
            <w:ind w:left="-115"/>
            <w:jc w:val="left"/>
          </w:pPr>
        </w:p>
      </w:tc>
      <w:tc>
        <w:tcPr>
          <w:tcW w:w="3120" w:type="dxa"/>
          <w:tcMar/>
        </w:tcPr>
        <w:p w:rsidR="47FC2AE1" w:rsidP="47FC2AE1" w:rsidRDefault="47FC2AE1" w14:paraId="019F6C03" w14:textId="188640E5">
          <w:pPr>
            <w:pStyle w:val="Header"/>
            <w:bidi w:val="0"/>
            <w:jc w:val="center"/>
          </w:pPr>
        </w:p>
      </w:tc>
      <w:tc>
        <w:tcPr>
          <w:tcW w:w="3120" w:type="dxa"/>
          <w:tcMar/>
        </w:tcPr>
        <w:p w:rsidR="47FC2AE1" w:rsidP="47FC2AE1" w:rsidRDefault="47FC2AE1" w14:paraId="1700C741" w14:textId="71674860">
          <w:pPr>
            <w:pStyle w:val="Header"/>
            <w:bidi w:val="0"/>
            <w:ind w:right="-115"/>
            <w:jc w:val="right"/>
          </w:pPr>
        </w:p>
      </w:tc>
    </w:tr>
  </w:tbl>
  <w:p w:rsidR="47FC2AE1" w:rsidP="47FC2AE1" w:rsidRDefault="47FC2AE1" w14:paraId="476130E6" w14:textId="0F2A92D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47FC2AE1" w:rsidTr="47FC2AE1" w14:paraId="0E4E96C9">
      <w:trPr>
        <w:trHeight w:val="300"/>
      </w:trPr>
      <w:tc>
        <w:tcPr>
          <w:tcW w:w="9360" w:type="dxa"/>
          <w:tcMar/>
        </w:tcPr>
        <w:p w:rsidR="47FC2AE1" w:rsidP="47FC2AE1" w:rsidRDefault="47FC2AE1" w14:paraId="038D91BB" w14:textId="615A1E7C">
          <w:pPr>
            <w:pStyle w:val="Header"/>
            <w:bidi w:val="0"/>
            <w:ind w:left="-115"/>
            <w:jc w:val="left"/>
          </w:pPr>
          <w:r w:rsidR="47FC2AE1">
            <w:drawing>
              <wp:inline wp14:editId="08058CCF" wp14:anchorId="40A3371D">
                <wp:extent cx="5810250" cy="762000"/>
                <wp:effectExtent l="0" t="0" r="0" b="0"/>
                <wp:docPr id="4060207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06020722" name="Picture 40602072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2736258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47FC2AE1" w:rsidP="47FC2AE1" w:rsidRDefault="47FC2AE1" w14:paraId="11C65ED4" w14:textId="3E5AC2B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28A2"/>
    <w:multiLevelType w:val="hybridMultilevel"/>
    <w:tmpl w:val="1736D8B4"/>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531634"/>
    <w:multiLevelType w:val="hybridMultilevel"/>
    <w:tmpl w:val="21BC6ADE"/>
    <w:lvl w:ilvl="0" w:tplc="ACB2B0D0">
      <w:start w:val="16"/>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30378096">
    <w:abstractNumId w:val="0"/>
  </w:num>
  <w:num w:numId="2" w16cid:durableId="103943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A3"/>
    <w:rsid w:val="000C3289"/>
    <w:rsid w:val="000E6FFE"/>
    <w:rsid w:val="001322D3"/>
    <w:rsid w:val="0014453F"/>
    <w:rsid w:val="00386EA3"/>
    <w:rsid w:val="006E6B8C"/>
    <w:rsid w:val="00757634"/>
    <w:rsid w:val="00A863B7"/>
    <w:rsid w:val="00D0059F"/>
    <w:rsid w:val="046E23E2"/>
    <w:rsid w:val="47FC2AE1"/>
    <w:rsid w:val="48B46F40"/>
    <w:rsid w:val="7619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273DD"/>
  <w15:chartTrackingRefBased/>
  <w15:docId w15:val="{C931B32E-2ECE-574A-B678-85DE5AB0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6EA3"/>
  </w:style>
  <w:style w:type="paragraph" w:styleId="Heading1">
    <w:name w:val="heading 1"/>
    <w:basedOn w:val="Normal"/>
    <w:next w:val="Normal"/>
    <w:link w:val="Heading1Char"/>
    <w:uiPriority w:val="9"/>
    <w:qFormat/>
    <w:rsid w:val="00386E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E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E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86E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86E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86E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86E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86E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86E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86E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86E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86EA3"/>
    <w:rPr>
      <w:rFonts w:eastAsiaTheme="majorEastAsia" w:cstheme="majorBidi"/>
      <w:color w:val="272727" w:themeColor="text1" w:themeTint="D8"/>
    </w:rPr>
  </w:style>
  <w:style w:type="paragraph" w:styleId="Title">
    <w:name w:val="Title"/>
    <w:basedOn w:val="Normal"/>
    <w:next w:val="Normal"/>
    <w:link w:val="TitleChar"/>
    <w:uiPriority w:val="10"/>
    <w:qFormat/>
    <w:rsid w:val="00386E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86E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86E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86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EA3"/>
    <w:pPr>
      <w:spacing w:before="160"/>
      <w:jc w:val="center"/>
    </w:pPr>
    <w:rPr>
      <w:i/>
      <w:iCs/>
      <w:color w:val="404040" w:themeColor="text1" w:themeTint="BF"/>
    </w:rPr>
  </w:style>
  <w:style w:type="character" w:styleId="QuoteChar" w:customStyle="1">
    <w:name w:val="Quote Char"/>
    <w:basedOn w:val="DefaultParagraphFont"/>
    <w:link w:val="Quote"/>
    <w:uiPriority w:val="29"/>
    <w:rsid w:val="00386EA3"/>
    <w:rPr>
      <w:i/>
      <w:iCs/>
      <w:color w:val="404040" w:themeColor="text1" w:themeTint="BF"/>
    </w:rPr>
  </w:style>
  <w:style w:type="paragraph" w:styleId="ListParagraph">
    <w:name w:val="List Paragraph"/>
    <w:basedOn w:val="Normal"/>
    <w:uiPriority w:val="34"/>
    <w:qFormat/>
    <w:rsid w:val="00386EA3"/>
    <w:pPr>
      <w:ind w:left="720"/>
      <w:contextualSpacing/>
    </w:pPr>
  </w:style>
  <w:style w:type="character" w:styleId="IntenseEmphasis">
    <w:name w:val="Intense Emphasis"/>
    <w:basedOn w:val="DefaultParagraphFont"/>
    <w:uiPriority w:val="21"/>
    <w:qFormat/>
    <w:rsid w:val="00386EA3"/>
    <w:rPr>
      <w:i/>
      <w:iCs/>
      <w:color w:val="0F4761" w:themeColor="accent1" w:themeShade="BF"/>
    </w:rPr>
  </w:style>
  <w:style w:type="paragraph" w:styleId="IntenseQuote">
    <w:name w:val="Intense Quote"/>
    <w:basedOn w:val="Normal"/>
    <w:next w:val="Normal"/>
    <w:link w:val="IntenseQuoteChar"/>
    <w:uiPriority w:val="30"/>
    <w:qFormat/>
    <w:rsid w:val="00386E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86EA3"/>
    <w:rPr>
      <w:i/>
      <w:iCs/>
      <w:color w:val="0F4761" w:themeColor="accent1" w:themeShade="BF"/>
    </w:rPr>
  </w:style>
  <w:style w:type="character" w:styleId="IntenseReference">
    <w:name w:val="Intense Reference"/>
    <w:basedOn w:val="DefaultParagraphFont"/>
    <w:uiPriority w:val="32"/>
    <w:qFormat/>
    <w:rsid w:val="00386EA3"/>
    <w:rPr>
      <w:b/>
      <w:bCs/>
      <w:smallCaps/>
      <w:color w:val="0F4761" w:themeColor="accent1" w:themeShade="BF"/>
      <w:spacing w:val="5"/>
    </w:rPr>
  </w:style>
  <w:style w:type="paragraph" w:styleId="Header">
    <w:uiPriority w:val="99"/>
    <w:name w:val="header"/>
    <w:basedOn w:val="Normal"/>
    <w:unhideWhenUsed/>
    <w:rsid w:val="47FC2AE1"/>
    <w:pPr>
      <w:tabs>
        <w:tab w:val="center" w:leader="none" w:pos="4680"/>
        <w:tab w:val="right" w:leader="none" w:pos="9360"/>
      </w:tabs>
      <w:spacing w:after="0" w:line="240" w:lineRule="auto"/>
    </w:pPr>
  </w:style>
  <w:style w:type="paragraph" w:styleId="Footer">
    <w:uiPriority w:val="99"/>
    <w:name w:val="footer"/>
    <w:basedOn w:val="Normal"/>
    <w:unhideWhenUsed/>
    <w:rsid w:val="47FC2AE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5205dc2de2ed4e0c" /><Relationship Type="http://schemas.openxmlformats.org/officeDocument/2006/relationships/header" Target="header2.xml" Id="Rad955c0ecffe4705" /><Relationship Type="http://schemas.openxmlformats.org/officeDocument/2006/relationships/footer" Target="footer.xml" Id="R10569157bb924c39" /><Relationship Type="http://schemas.openxmlformats.org/officeDocument/2006/relationships/footer" Target="footer2.xml" Id="R620a151af8d54338" /></Relationships>
</file>

<file path=word/_rels/header2.xml.rels>&#65279;<?xml version="1.0" encoding="utf-8"?><Relationships xmlns="http://schemas.openxmlformats.org/package/2006/relationships"><Relationship Type="http://schemas.openxmlformats.org/officeDocument/2006/relationships/image" Target="/media/image.jpg" Id="rId10273625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3</revision>
  <dcterms:created xsi:type="dcterms:W3CDTF">2025-10-15T19:40:00.0000000Z</dcterms:created>
  <dcterms:modified xsi:type="dcterms:W3CDTF">2026-02-27T23:24:01.6785561Z</dcterms:modified>
</coreProperties>
</file>