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43FCE" w:rsidR="006E6B8C" w:rsidP="0B2952FE" w:rsidRDefault="006E6B8C" w14:paraId="103558C4" w14:textId="135F6743">
      <w:pPr>
        <w:spacing w:after="0" w:line="264" w:lineRule="auto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0B2952FE" w:rsidR="389B5A9D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VAWG RISK ASSESSMENT GUIDANCE: LIVELIHOODS</w:t>
      </w:r>
    </w:p>
    <w:p w:rsidRPr="00243FCE" w:rsidR="006E6B8C" w:rsidP="1BA46890" w:rsidRDefault="006E6B8C" w14:paraId="253520E8" w14:textId="6C8CFBFB">
      <w:pPr>
        <w:spacing w:after="0" w:line="264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A46890" w:rsidR="389B5A9D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Source: IASC GBV Guidelines</w:t>
      </w:r>
    </w:p>
    <w:p w:rsidRPr="00243FCE" w:rsidR="006E6B8C" w:rsidP="1BA46890" w:rsidRDefault="006E6B8C" w14:paraId="12660975" w14:textId="708CBC10">
      <w:pPr>
        <w:spacing w:after="0" w:line="264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243FCE" w:rsidR="006E6B8C" w:rsidP="1BA46890" w:rsidRDefault="006E6B8C" w14:paraId="68D9C293" w14:textId="6629CF81">
      <w:pPr>
        <w:spacing w:before="0" w:beforeAutospacing="off" w:after="0" w:afterAutospacing="off" w:line="264" w:lineRule="auto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0B2952FE" w:rsidR="389B5A9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This tool is part of CARE’s </w:t>
      </w:r>
      <w:hyperlink r:id="R1eb3e2aac887422a">
        <w:r w:rsidRPr="0B2952FE" w:rsidR="389B5A9D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Do No Harm in Practice Toolkit</w:t>
        </w:r>
      </w:hyperlink>
      <w:r w:rsidRPr="0B2952FE" w:rsidR="389B5A9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B2952FE" w:rsidR="389B5A9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specifically the </w:t>
      </w:r>
      <w:r w:rsidRPr="0B2952FE" w:rsidR="389B5A9D">
        <w:rPr>
          <w:rFonts w:ascii="Aptos" w:hAnsi="Aptos" w:eastAsia="Aptos" w:cs="Aptos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 xml:space="preserve">Assessment </w:t>
      </w:r>
      <w:r w:rsidRPr="0B2952FE" w:rsidR="389B5A9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section</w:t>
      </w:r>
      <w:r w:rsidRPr="0B2952FE" w:rsidR="389B5A9D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Pr="00243FCE" w:rsidR="006E6B8C" w:rsidP="1BA46890" w:rsidRDefault="006E6B8C" w14:paraId="342B638B" w14:textId="1648AAE4">
      <w:pPr>
        <w:spacing w:after="0" w:line="264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Pr="00243FCE" w:rsidR="006E6B8C" w:rsidP="1BA46890" w:rsidRDefault="006E6B8C" w14:paraId="78FFB10B" w14:textId="1F56A5A5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B2952FE" w:rsidR="389B5A9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WHAT IS IT?</w:t>
      </w:r>
    </w:p>
    <w:p w:rsidRPr="00243FCE" w:rsidR="006E6B8C" w:rsidP="1BA46890" w:rsidRDefault="006E6B8C" w14:paraId="4D1290C8" w14:textId="53B12E9C">
      <w:pPr>
        <w:pStyle w:val="Normal"/>
        <w:spacing w:after="0" w:line="264" w:lineRule="auto"/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</w:pPr>
      <w:r w:rsidRPr="0B2952FE" w:rsidR="389B5A9D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>The questions listed below are excerpted from th</w:t>
      </w:r>
      <w:r w:rsidRPr="0B2952FE" w:rsidR="389B5A9D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color w:val="010101"/>
          <w:sz w:val="24"/>
          <w:szCs w:val="24"/>
          <w:lang w:val="en-US"/>
        </w:rPr>
        <w:t xml:space="preserve">e </w:t>
      </w:r>
      <w:hyperlink r:id="R6186db74a064483f">
        <w:r w:rsidRPr="0B2952FE" w:rsidR="389B5A9D">
          <w:rPr>
            <w:rStyle w:val="Hyperlink"/>
            <w:rFonts w:ascii="Aptos" w:hAnsi="Aptos" w:eastAsia="Aptos" w:cs="Aptos" w:asciiTheme="minorAscii" w:hAnsiTheme="minorAscii" w:eastAsiaTheme="minorAscii" w:cstheme="minorAscii"/>
            <w:i w:val="0"/>
            <w:iCs w:val="0"/>
            <w:sz w:val="24"/>
            <w:szCs w:val="24"/>
          </w:rPr>
          <w:t>Livelihoods Thematic Area Guide</w:t>
        </w:r>
      </w:hyperlink>
      <w:r w:rsidRPr="0B2952FE" w:rsidR="389B5A9D">
        <w:rPr>
          <w:rFonts w:ascii="Aptos" w:hAnsi="Aptos" w:eastAsia="Aptos" w:cs="Aptos" w:asciiTheme="minorAscii" w:hAnsiTheme="minorAscii" w:eastAsiaTheme="minorAscii" w:cstheme="minorAscii"/>
          <w:i w:val="0"/>
          <w:iCs w:val="0"/>
          <w:noProof w:val="0"/>
          <w:color w:val="010101"/>
          <w:sz w:val="24"/>
          <w:szCs w:val="24"/>
          <w:lang w:val="en-US"/>
        </w:rPr>
        <w:t xml:space="preserve"> of t</w:t>
      </w:r>
      <w:r w:rsidRPr="0B2952FE" w:rsidR="389B5A9D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he </w:t>
      </w:r>
      <w:hyperlink r:id="R6ce9385254be4084">
        <w:r w:rsidRPr="0B2952FE" w:rsidR="389B5A9D">
          <w:rPr>
            <w:rStyle w:val="Hyperlink"/>
            <w:rFonts w:ascii="Aptos" w:hAnsi="Aptos" w:eastAsia="Aptos" w:cs="Aptos"/>
            <w:strike w:val="0"/>
            <w:dstrike w:val="0"/>
            <w:noProof w:val="0"/>
            <w:sz w:val="24"/>
            <w:szCs w:val="24"/>
            <w:lang w:val="en-US"/>
          </w:rPr>
          <w:t>IASC GBV Guidelines</w:t>
        </w:r>
      </w:hyperlink>
      <w:r w:rsidRPr="0B2952FE" w:rsidR="389B5A9D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>. The</w:t>
      </w:r>
      <w:r w:rsidRPr="0B2952FE" w:rsidR="389B5A9D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y are recommendations for </w:t>
      </w:r>
      <w:r w:rsidRPr="0B2952FE" w:rsidR="389B5A9D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>possible areas</w:t>
      </w:r>
      <w:r w:rsidRPr="0B2952FE" w:rsidR="389B5A9D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 of inquiry that can be selectively </w:t>
      </w:r>
      <w:r w:rsidRPr="0B2952FE" w:rsidR="389B5A9D">
        <w:rPr>
          <w:rFonts w:ascii="Aptos" w:hAnsi="Aptos" w:eastAsia="Aptos" w:cs="Aptos"/>
          <w:b w:val="1"/>
          <w:bCs w:val="1"/>
          <w:noProof w:val="0"/>
          <w:color w:val="010101"/>
          <w:sz w:val="24"/>
          <w:szCs w:val="24"/>
          <w:lang w:val="en-US"/>
        </w:rPr>
        <w:t xml:space="preserve">incorporated into various sector-specific assessments and routine monitoring </w:t>
      </w:r>
      <w:r w:rsidRPr="0B2952FE" w:rsidR="389B5A9D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undertaken by </w:t>
      </w:r>
      <w:r w:rsidRPr="0B2952FE" w:rsidR="67DC1E87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Livelihoods </w:t>
      </w:r>
      <w:r w:rsidRPr="0B2952FE" w:rsidR="389B5A9D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actors. </w:t>
      </w:r>
      <w:r w:rsidRPr="0B2952FE" w:rsidR="389B5A9D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Wherever possible, assessments should be inter-sectoral and interdisciplinary, with </w:t>
      </w:r>
      <w:r w:rsidRPr="0B2952FE" w:rsidR="5BE12F7A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>Livelihoods</w:t>
      </w:r>
      <w:r w:rsidRPr="0B2952FE" w:rsidR="389B5A9D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 actors working in partnership with other sectors as well as with VAWG specialists.</w:t>
      </w:r>
    </w:p>
    <w:p w:rsidR="4BE160B1" w:rsidP="4BE160B1" w:rsidRDefault="4BE160B1" w14:paraId="5BAF18FF" w14:textId="115DC1AD">
      <w:pPr>
        <w:pStyle w:val="Normal"/>
        <w:spacing w:after="0" w:line="264" w:lineRule="auto"/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</w:pPr>
    </w:p>
    <w:p w:rsidRPr="00243FCE" w:rsidR="006E6B8C" w:rsidP="1BA46890" w:rsidRDefault="006E6B8C" w14:paraId="6CFF46DF" w14:textId="071956F3">
      <w:pPr>
        <w:spacing w:after="0" w:line="264" w:lineRule="auto"/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</w:pPr>
      <w:r w:rsidRPr="1BA46890" w:rsidR="389B5A9D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These areas of inquiry are linked to three main types of responsibilities related to </w:t>
      </w:r>
      <w:r w:rsidRPr="1BA46890" w:rsidR="647AA539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Livelihoods </w:t>
      </w:r>
      <w:r w:rsidRPr="1BA46890" w:rsidR="389B5A9D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program implementation: programming, </w:t>
      </w:r>
      <w:r w:rsidRPr="1BA46890" w:rsidR="389B5A9D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>policies, and</w:t>
      </w:r>
      <w:r w:rsidRPr="1BA46890" w:rsidR="389B5A9D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 </w:t>
      </w:r>
      <w:r w:rsidRPr="1BA46890" w:rsidR="389B5A9D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>communications</w:t>
      </w:r>
      <w:r w:rsidRPr="1BA46890" w:rsidR="389B5A9D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 and information sharing. </w:t>
      </w:r>
      <w:r w:rsidRPr="1BA46890" w:rsidR="389B5A9D">
        <w:rPr>
          <w:rFonts w:ascii="Aptos" w:hAnsi="Aptos" w:eastAsia="Aptos" w:cs="Aptos"/>
          <w:b w:val="1"/>
          <w:bCs w:val="1"/>
          <w:noProof w:val="0"/>
          <w:color w:val="010101"/>
          <w:sz w:val="24"/>
          <w:szCs w:val="24"/>
          <w:lang w:val="en-US"/>
        </w:rPr>
        <w:t xml:space="preserve">The information generated from these areas of inquiry should be analyzed to inform planning of </w:t>
      </w:r>
      <w:r w:rsidRPr="1BA46890" w:rsidR="6D9B955F">
        <w:rPr>
          <w:rFonts w:ascii="Aptos" w:hAnsi="Aptos" w:eastAsia="Aptos" w:cs="Aptos"/>
          <w:b w:val="1"/>
          <w:bCs w:val="1"/>
          <w:noProof w:val="0"/>
          <w:color w:val="010101"/>
          <w:sz w:val="24"/>
          <w:szCs w:val="24"/>
          <w:lang w:val="en-US"/>
        </w:rPr>
        <w:t>Livelihoods</w:t>
      </w:r>
      <w:r w:rsidRPr="1BA46890" w:rsidR="389B5A9D">
        <w:rPr>
          <w:rFonts w:ascii="Aptos" w:hAnsi="Aptos" w:eastAsia="Aptos" w:cs="Aptos"/>
          <w:b w:val="1"/>
          <w:bCs w:val="1"/>
          <w:noProof w:val="0"/>
          <w:color w:val="010101"/>
          <w:sz w:val="24"/>
          <w:szCs w:val="24"/>
          <w:lang w:val="en-US"/>
        </w:rPr>
        <w:t xml:space="preserve"> </w:t>
      </w:r>
      <w:r w:rsidRPr="1BA46890" w:rsidR="389B5A9D">
        <w:rPr>
          <w:rFonts w:ascii="Aptos" w:hAnsi="Aptos" w:eastAsia="Aptos" w:cs="Aptos"/>
          <w:b w:val="1"/>
          <w:bCs w:val="1"/>
          <w:noProof w:val="0"/>
          <w:color w:val="010101"/>
          <w:sz w:val="24"/>
          <w:szCs w:val="24"/>
          <w:lang w:val="en-US"/>
        </w:rPr>
        <w:t>operations in ways that mitigate the risk of VAWG.</w:t>
      </w:r>
      <w:r w:rsidRPr="1BA46890" w:rsidR="389B5A9D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 This information may highlight priorities and gaps that need to be addressed when planning </w:t>
      </w:r>
      <w:r w:rsidRPr="1BA46890" w:rsidR="389B5A9D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>new programs</w:t>
      </w:r>
      <w:r w:rsidRPr="1BA46890" w:rsidR="389B5A9D"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  <w:t xml:space="preserve"> or adjusting existing programs.</w:t>
      </w:r>
    </w:p>
    <w:p w:rsidRPr="00243FCE" w:rsidR="006E6B8C" w:rsidP="1BA46890" w:rsidRDefault="006E6B8C" w14:paraId="4254AB50" w14:textId="01376591">
      <w:pPr>
        <w:keepNext w:val="1"/>
        <w:keepLines w:val="1"/>
        <w:spacing w:before="0" w:after="0" w:line="264" w:lineRule="auto"/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</w:pPr>
    </w:p>
    <w:p w:rsidRPr="00243FCE" w:rsidR="006E6B8C" w:rsidP="1BA46890" w:rsidRDefault="006E6B8C" w14:paraId="34037190" w14:textId="47E1F8C1">
      <w:pPr>
        <w:pStyle w:val="Heading2"/>
        <w:keepNext w:val="0"/>
        <w:keepLines w:val="0"/>
        <w:spacing w:before="0" w:after="0" w:afterAutospacing="off" w:line="240" w:lineRule="auto"/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</w:pPr>
      <w:r w:rsidRPr="1BA46890" w:rsidR="389B5A9D">
        <w:rPr>
          <w:rFonts w:ascii="Aptos" w:hAnsi="Aptos" w:eastAsia="Aptos" w:cs="Aptos"/>
          <w:b w:val="1"/>
          <w:bCs w:val="1"/>
          <w:noProof w:val="0"/>
          <w:color w:val="010101"/>
          <w:sz w:val="24"/>
          <w:szCs w:val="24"/>
          <w:lang w:val="en-US"/>
        </w:rPr>
        <w:t>KEY ASSESSMENT TARGET GROUPS:</w:t>
      </w:r>
    </w:p>
    <w:p w:rsidRPr="00243FCE" w:rsidR="006E6B8C" w:rsidP="1BA46890" w:rsidRDefault="006E6B8C" w14:paraId="592E5FD5" w14:textId="2464592C">
      <w:pPr>
        <w:pStyle w:val="ListParagraph"/>
        <w:numPr>
          <w:ilvl w:val="0"/>
          <w:numId w:val="10"/>
        </w:numPr>
        <w:spacing w:after="0" w:line="240" w:lineRule="auto"/>
        <w:ind w:left="1080" w:hanging="720"/>
        <w:rPr>
          <w:rFonts w:ascii="Aptos" w:hAnsi="Aptos" w:eastAsia="Aptos" w:cs="Aptos"/>
          <w:noProof w:val="0"/>
          <w:color w:val="101010"/>
          <w:sz w:val="24"/>
          <w:szCs w:val="24"/>
          <w:lang w:val="en-US"/>
        </w:rPr>
      </w:pPr>
      <w:r w:rsidRPr="1BA46890" w:rsidR="2D1C43F2">
        <w:rPr>
          <w:rFonts w:ascii="Aptos" w:hAnsi="Aptos" w:eastAsia="Aptos" w:cs="Aptos"/>
          <w:noProof w:val="0"/>
          <w:color w:val="101010"/>
          <w:sz w:val="24"/>
          <w:szCs w:val="24"/>
          <w:lang w:val="en-US"/>
        </w:rPr>
        <w:t>Key stakeholders in livelihoods: governments; civil societies; local leaders; market sellers and firms; business groups; community members; humanitarian workers; VAWG specialists</w:t>
      </w:r>
    </w:p>
    <w:p w:rsidRPr="00243FCE" w:rsidR="006E6B8C" w:rsidP="1BA46890" w:rsidRDefault="006E6B8C" w14:paraId="220CE91A" w14:textId="6FE6170D">
      <w:pPr>
        <w:pStyle w:val="ListParagraph"/>
        <w:numPr>
          <w:ilvl w:val="0"/>
          <w:numId w:val="10"/>
        </w:numPr>
        <w:spacing w:after="0" w:line="240" w:lineRule="auto"/>
        <w:ind w:left="1080" w:hanging="720"/>
        <w:rPr>
          <w:rFonts w:ascii="Aptos" w:hAnsi="Aptos" w:eastAsia="Aptos" w:cs="Aptos"/>
          <w:noProof w:val="0"/>
          <w:color w:val="101010"/>
          <w:sz w:val="24"/>
          <w:szCs w:val="24"/>
          <w:lang w:val="en-US"/>
        </w:rPr>
      </w:pPr>
      <w:r w:rsidRPr="1BA46890" w:rsidR="2D1C43F2">
        <w:rPr>
          <w:rFonts w:ascii="Aptos" w:hAnsi="Aptos" w:eastAsia="Aptos" w:cs="Aptos"/>
          <w:noProof w:val="0"/>
          <w:color w:val="101010"/>
          <w:sz w:val="24"/>
          <w:szCs w:val="24"/>
          <w:lang w:val="en-US"/>
        </w:rPr>
        <w:t>Affected populations and communities</w:t>
      </w:r>
    </w:p>
    <w:p w:rsidRPr="00243FCE" w:rsidR="006E6B8C" w:rsidP="1BA46890" w:rsidRDefault="006E6B8C" w14:paraId="41C26158" w14:textId="14872AB8">
      <w:pPr>
        <w:pStyle w:val="ListParagraph"/>
        <w:numPr>
          <w:ilvl w:val="0"/>
          <w:numId w:val="10"/>
        </w:numPr>
        <w:spacing w:after="0" w:line="240" w:lineRule="auto"/>
        <w:ind w:left="1080" w:hanging="720"/>
        <w:rPr>
          <w:rFonts w:ascii="Aptos" w:hAnsi="Aptos" w:eastAsia="Aptos" w:cs="Aptos"/>
          <w:noProof w:val="0"/>
          <w:color w:val="101010"/>
          <w:sz w:val="24"/>
          <w:szCs w:val="24"/>
          <w:lang w:val="en-US"/>
        </w:rPr>
      </w:pPr>
      <w:r w:rsidRPr="0B2952FE" w:rsidR="2D1C43F2">
        <w:rPr>
          <w:rFonts w:ascii="Aptos" w:hAnsi="Aptos" w:eastAsia="Aptos" w:cs="Aptos"/>
          <w:noProof w:val="0"/>
          <w:color w:val="101010"/>
          <w:sz w:val="24"/>
          <w:szCs w:val="24"/>
          <w:lang w:val="en-US"/>
        </w:rPr>
        <w:t>In IDP/refugee settings, members of receptor</w:t>
      </w:r>
      <w:r w:rsidRPr="0B2952FE" w:rsidR="2D1C43F2">
        <w:rPr>
          <w:rFonts w:ascii="Aptos" w:hAnsi="Aptos" w:eastAsia="Aptos" w:cs="Aptos"/>
          <w:noProof w:val="0"/>
          <w:color w:val="101010"/>
          <w:sz w:val="24"/>
          <w:szCs w:val="24"/>
          <w:lang w:val="en-US"/>
        </w:rPr>
        <w:t>/host communities</w:t>
      </w:r>
    </w:p>
    <w:p w:rsidRPr="00243FCE" w:rsidR="006E6B8C" w:rsidP="1BA46890" w:rsidRDefault="006E6B8C" w14:paraId="0D8FE414" w14:textId="0965A607">
      <w:pPr>
        <w:spacing w:after="0" w:line="264" w:lineRule="auto"/>
        <w:ind w:right="300"/>
        <w:rPr>
          <w:rFonts w:ascii="Aptos" w:hAnsi="Aptos" w:eastAsia="Aptos" w:cs="Aptos"/>
          <w:noProof w:val="0"/>
          <w:color w:val="010101"/>
          <w:sz w:val="24"/>
          <w:szCs w:val="24"/>
          <w:lang w:val="en-US"/>
        </w:rPr>
      </w:pPr>
    </w:p>
    <w:p w:rsidRPr="00243FCE" w:rsidR="006E6B8C" w:rsidP="1BA46890" w:rsidRDefault="006E6B8C" w14:paraId="01E8A7CF" w14:textId="459C26BB">
      <w:pPr>
        <w:spacing w:after="0" w:line="240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B2952FE" w:rsidR="389B5A9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GOOD PRACTICE FOR USING THIS TOOL:</w:t>
      </w:r>
    </w:p>
    <w:p w:rsidRPr="00243FCE" w:rsidR="006E6B8C" w:rsidP="1BA46890" w:rsidRDefault="006E6B8C" w14:paraId="6D886ED6" w14:textId="53D0F973">
      <w:pPr>
        <w:pStyle w:val="ListParagraph"/>
        <w:numPr>
          <w:ilvl w:val="0"/>
          <w:numId w:val="11"/>
        </w:numPr>
        <w:spacing w:before="0" w:beforeAutospacing="off" w:after="0" w:afterAutospacing="off" w:line="240" w:lineRule="auto"/>
        <w:ind w:left="1080" w:right="0" w:hanging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B2952FE" w:rsidR="389B5A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Ensure you have read and understood the </w:t>
      </w:r>
      <w:hyperlink r:id="R3ed55c0ce92e4a0d">
        <w:r w:rsidRPr="0B2952FE" w:rsidR="389B5A9D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Tipsheet for non-</w:t>
        </w:r>
        <w:r w:rsidRPr="0B2952FE" w:rsidR="7CEEFF0C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VAWG</w:t>
        </w:r>
        <w:r w:rsidRPr="0B2952FE" w:rsidR="389B5A9D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 specialists</w:t>
        </w:r>
        <w:r w:rsidRPr="0B2952FE" w:rsidR="389B5A9D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 xml:space="preserve"> </w:t>
        </w:r>
        <w:r w:rsidRPr="0B2952FE" w:rsidR="389B5A9D">
          <w:rPr>
            <w:rStyle w:val="Hyperlink"/>
            <w:rFonts w:ascii="Aptos" w:hAnsi="Aptos" w:eastAsia="Aptos" w:cs="Aptos"/>
            <w:b w:val="1"/>
            <w:bCs w:val="1"/>
            <w:noProof w:val="0"/>
            <w:sz w:val="24"/>
            <w:szCs w:val="24"/>
            <w:lang w:val="en-US"/>
          </w:rPr>
          <w:t>on asking questions about safety</w:t>
        </w:r>
      </w:hyperlink>
    </w:p>
    <w:p w:rsidRPr="00243FCE" w:rsidR="006E6B8C" w:rsidP="1BA46890" w:rsidRDefault="006E6B8C" w14:paraId="5A523FE6" w14:textId="6DCB3679">
      <w:pPr>
        <w:pStyle w:val="ListParagraph"/>
        <w:numPr>
          <w:ilvl w:val="0"/>
          <w:numId w:val="11"/>
        </w:numPr>
        <w:spacing w:after="0" w:line="240" w:lineRule="auto"/>
        <w:ind w:left="1080" w:hanging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B2952FE" w:rsidR="389B5A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Anyone leading or taking notes during a FGD should first be trained </w:t>
      </w:r>
      <w:r w:rsidRPr="0B2952FE" w:rsidR="389B5A9D">
        <w:rPr>
          <w:rFonts w:ascii="Aptos" w:hAnsi="Aptos" w:eastAsia="Aptos" w:cs="Aptos"/>
          <w:noProof w:val="0"/>
          <w:sz w:val="24"/>
          <w:szCs w:val="24"/>
          <w:lang w:val="en-US"/>
        </w:rPr>
        <w:t>on</w:t>
      </w:r>
      <w:r w:rsidRPr="0B2952FE" w:rsidR="389B5A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B2952FE" w:rsidR="389B5A9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safe and </w:t>
      </w:r>
      <w:r w:rsidRPr="0B2952FE" w:rsidR="389B5A9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appropriate response</w:t>
      </w:r>
      <w:r w:rsidRPr="0B2952FE" w:rsidR="389B5A9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to GBV disclosures</w:t>
      </w:r>
      <w:r w:rsidRPr="0B2952FE" w:rsidR="389B5A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prior to administering this survey. A training guide on this topic can be found </w:t>
      </w:r>
      <w:hyperlink r:id="Rdf4837fe1901426a">
        <w:r w:rsidRPr="0B2952FE" w:rsidR="389B5A9D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here</w:t>
        </w:r>
      </w:hyperlink>
      <w:r w:rsidRPr="0B2952FE">
        <w:rPr>
          <w:rStyle w:val="FootnoteReference"/>
          <w:rFonts w:ascii="Aptos" w:hAnsi="Aptos" w:eastAsia="Aptos" w:cs="Aptos"/>
          <w:noProof w:val="0"/>
          <w:sz w:val="24"/>
          <w:szCs w:val="24"/>
          <w:lang w:val="en-US"/>
        </w:rPr>
        <w:footnoteReference w:id="29677"/>
      </w:r>
      <w:r w:rsidRPr="0B2952FE" w:rsidR="389B5A9D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Pr="00243FCE" w:rsidR="006E6B8C" w:rsidP="1BA46890" w:rsidRDefault="006E6B8C" w14:paraId="54410330" w14:textId="7430A030">
      <w:pPr>
        <w:pStyle w:val="ListParagraph"/>
        <w:numPr>
          <w:ilvl w:val="0"/>
          <w:numId w:val="12"/>
        </w:numPr>
        <w:spacing w:before="0" w:beforeAutospacing="off" w:after="0" w:afterAutospacing="off" w:line="240" w:lineRule="auto"/>
        <w:ind w:left="1080" w:right="0" w:hanging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A46890" w:rsidR="389B5A9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Select and adapt the questions to your context</w:t>
      </w:r>
      <w:r w:rsidRPr="1BA46890" w:rsidR="389B5A9D">
        <w:rPr>
          <w:rFonts w:ascii="Aptos" w:hAnsi="Aptos" w:eastAsia="Aptos" w:cs="Aptos"/>
          <w:noProof w:val="0"/>
          <w:sz w:val="24"/>
          <w:szCs w:val="24"/>
          <w:lang w:val="en-US"/>
        </w:rPr>
        <w:t>. It is unlikely that ALL questions noted below will be relevant for your context or that the examples given will suit your context exactly. Pick, choose and adapt as needed.</w:t>
      </w:r>
    </w:p>
    <w:p w:rsidRPr="00243FCE" w:rsidR="006E6B8C" w:rsidP="1BA46890" w:rsidRDefault="006E6B8C" w14:paraId="0CDBB758" w14:textId="4844AEC8">
      <w:pPr>
        <w:pStyle w:val="ListParagraph"/>
        <w:numPr>
          <w:ilvl w:val="0"/>
          <w:numId w:val="12"/>
        </w:numPr>
        <w:spacing w:before="0" w:beforeAutospacing="off" w:after="0" w:afterAutospacing="off" w:line="240" w:lineRule="auto"/>
        <w:ind w:left="1080" w:right="0" w:hanging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A46890" w:rsidR="389B5A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Ensure that </w:t>
      </w:r>
      <w:r w:rsidRPr="1BA46890" w:rsidR="389B5A9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program participants in all their diversity are included in the sampling</w:t>
      </w:r>
      <w:r w:rsidRPr="1BA46890" w:rsidR="389B5A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(grouped separately as needed</w:t>
      </w:r>
      <w:r w:rsidRPr="1BA46890" w:rsidR="389B5A9D">
        <w:rPr>
          <w:rFonts w:ascii="Aptos" w:hAnsi="Aptos" w:eastAsia="Aptos" w:cs="Aptos"/>
          <w:noProof w:val="0"/>
          <w:sz w:val="24"/>
          <w:szCs w:val="24"/>
          <w:vertAlign w:val="superscript"/>
          <w:lang w:val="en-US"/>
        </w:rPr>
        <w:t>1</w:t>
      </w:r>
      <w:r w:rsidRPr="1BA46890" w:rsidR="389B5A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): women and men, girls and boys (where appropriate depending on the type of service or activity), people with disabilities, and other vulnerable groups in the community (e.g. female-headed households, people from minority ethnic and/or religious groups). It is especially important to consult with women, girls, and other vulnerable groups given historic patterns of barriers faced by these groups to access humanitarian </w:t>
      </w:r>
      <w:r w:rsidRPr="1BA46890" w:rsidR="389B5A9D">
        <w:rPr>
          <w:rFonts w:ascii="Aptos" w:hAnsi="Aptos" w:eastAsia="Aptos" w:cs="Aptos"/>
          <w:noProof w:val="0"/>
          <w:sz w:val="24"/>
          <w:szCs w:val="24"/>
          <w:lang w:val="en-US"/>
        </w:rPr>
        <w:t>assistance</w:t>
      </w:r>
      <w:r w:rsidRPr="1BA46890" w:rsidR="389B5A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safely. For </w:t>
      </w:r>
      <w:r w:rsidRPr="1BA46890" w:rsidR="389B5A9D">
        <w:rPr>
          <w:rFonts w:ascii="Aptos" w:hAnsi="Aptos" w:eastAsia="Aptos" w:cs="Aptos"/>
          <w:noProof w:val="0"/>
          <w:sz w:val="24"/>
          <w:szCs w:val="24"/>
          <w:lang w:val="en-US"/>
        </w:rPr>
        <w:t>additional</w:t>
      </w:r>
      <w:r w:rsidRPr="1BA46890" w:rsidR="389B5A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tips on ensuring safe and ethical consultations with women and girls, please see this tipsheet.</w:t>
      </w:r>
    </w:p>
    <w:p w:rsidRPr="00243FCE" w:rsidR="006E6B8C" w:rsidP="1BA46890" w:rsidRDefault="006E6B8C" w14:paraId="6F3C1755" w14:textId="68AE5CB9">
      <w:pPr>
        <w:pStyle w:val="ListParagraph"/>
        <w:numPr>
          <w:ilvl w:val="0"/>
          <w:numId w:val="12"/>
        </w:numPr>
        <w:spacing w:before="0" w:beforeAutospacing="off" w:after="0" w:afterAutospacing="off" w:line="240" w:lineRule="auto"/>
        <w:ind w:left="1080" w:right="0" w:hanging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BA46890" w:rsidR="389B5A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Many people feel uncomfortable answering direct questions about their own feelings of safety. If you believe this is likely to be the case for participants in your FGD, you can </w:t>
      </w:r>
      <w:r w:rsidRPr="1BA46890" w:rsidR="389B5A9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consider changing the questions to ask about the respondents’ </w:t>
      </w:r>
      <w:r w:rsidRPr="1BA46890" w:rsidR="389B5A9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perceptions</w:t>
      </w:r>
      <w:r w:rsidRPr="1BA46890" w:rsidR="389B5A9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of how OTHERS in their community feel about their own safety</w:t>
      </w:r>
      <w:r w:rsidRPr="1BA46890" w:rsidR="389B5A9D">
        <w:rPr>
          <w:rFonts w:ascii="Aptos" w:hAnsi="Aptos" w:eastAsia="Aptos" w:cs="Aptos"/>
          <w:noProof w:val="0"/>
          <w:sz w:val="24"/>
          <w:szCs w:val="24"/>
          <w:lang w:val="en-US"/>
        </w:rPr>
        <w:t>. For example, instead of “how safe do you feel at our service location?</w:t>
      </w:r>
      <w:r w:rsidRPr="1BA46890" w:rsidR="389B5A9D">
        <w:rPr>
          <w:rFonts w:ascii="Aptos" w:hAnsi="Aptos" w:eastAsia="Aptos" w:cs="Aptos"/>
          <w:noProof w:val="0"/>
          <w:sz w:val="24"/>
          <w:szCs w:val="24"/>
          <w:lang w:val="en-US"/>
        </w:rPr>
        <w:t>”,</w:t>
      </w:r>
      <w:r w:rsidRPr="1BA46890" w:rsidR="389B5A9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you could ask “How safe do you think most participants feel at our service location?</w:t>
      </w:r>
    </w:p>
    <w:p w:rsidRPr="00243FCE" w:rsidR="006E6B8C" w:rsidP="1BA46890" w:rsidRDefault="006E6B8C" w14:paraId="7FA2C6F9" w14:textId="07AC3BC2">
      <w:pPr>
        <w:pStyle w:val="Heading1"/>
        <w:keepNext w:val="1"/>
        <w:keepLines w:val="1"/>
        <w:spacing w:before="0" w:after="0" w:line="264" w:lineRule="auto"/>
        <w:rPr>
          <w:rFonts w:ascii="Aptos" w:hAnsi="Aptos" w:eastAsia="Aptos" w:cs="Aptos"/>
          <w:noProof w:val="0"/>
          <w:color w:val="010101"/>
          <w:sz w:val="28"/>
          <w:szCs w:val="28"/>
          <w:lang w:val="en-US"/>
        </w:rPr>
      </w:pPr>
      <w:r w:rsidRPr="1BA46890" w:rsidR="389B5A9D">
        <w:rPr>
          <w:rFonts w:ascii="Aptos" w:hAnsi="Aptos" w:eastAsia="Aptos" w:cs="Aptos"/>
          <w:noProof w:val="0"/>
          <w:color w:val="010101"/>
          <w:sz w:val="28"/>
          <w:szCs w:val="28"/>
          <w:lang w:val="en-US"/>
        </w:rPr>
        <w:t xml:space="preserve"> </w:t>
      </w:r>
    </w:p>
    <w:p w:rsidRPr="00243FCE" w:rsidR="006E6B8C" w:rsidP="1BA46890" w:rsidRDefault="006E6B8C" w14:paraId="27DCBB02" w14:textId="26691F12">
      <w:pPr>
        <w:spacing w:after="0" w:line="264" w:lineRule="auto"/>
        <w:rPr>
          <w:rFonts w:ascii="Aptos" w:hAnsi="Aptos" w:eastAsia="Aptos" w:cs="Aptos"/>
          <w:noProof w:val="0"/>
          <w:color w:val="010101"/>
          <w:sz w:val="21"/>
          <w:szCs w:val="21"/>
          <w:lang w:val="en-US"/>
        </w:rPr>
      </w:pPr>
    </w:p>
    <w:p w:rsidRPr="00243FCE" w:rsidR="006E6B8C" w:rsidP="1BA46890" w:rsidRDefault="006E6B8C" w14:paraId="2E2DCFAB" w14:textId="604CF6E2">
      <w:pPr>
        <w:spacing w:after="0" w:line="240" w:lineRule="auto"/>
        <w:rPr>
          <w:rFonts w:ascii="Aptos" w:hAnsi="Aptos" w:eastAsia="Aptos" w:cs="Aptos"/>
          <w:noProof w:val="0"/>
          <w:color w:val="101010"/>
          <w:sz w:val="28"/>
          <w:szCs w:val="28"/>
          <w:lang w:val="en-US"/>
        </w:rPr>
      </w:pPr>
      <w:r w:rsidRPr="1BA46890" w:rsidR="389B5A9D">
        <w:rPr>
          <w:rFonts w:ascii="Aptos" w:hAnsi="Aptos" w:eastAsia="Aptos" w:cs="Aptos"/>
          <w:b w:val="1"/>
          <w:bCs w:val="1"/>
          <w:noProof w:val="0"/>
          <w:color w:val="101010"/>
          <w:sz w:val="28"/>
          <w:szCs w:val="28"/>
          <w:lang w:val="en-US"/>
        </w:rPr>
        <w:t>SUGGESTED AREAS OF INQUIRY: LIVELIHOODS</w:t>
      </w:r>
    </w:p>
    <w:p w:rsidRPr="00243FCE" w:rsidR="006E6B8C" w:rsidP="1BA46890" w:rsidRDefault="006E6B8C" w14:paraId="5C620BE5" w14:textId="2C792F7F">
      <w:pPr>
        <w:pStyle w:val="Normal"/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US"/>
        </w:rPr>
      </w:pPr>
    </w:p>
    <w:p w:rsidR="00243FCE" w:rsidP="1BA46890" w:rsidRDefault="00243FCE" w14:paraId="21753DDE" w14:textId="77777777" w14:noSpellErr="1">
      <w:pPr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Areas Related to Livelihoods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PROGRAMMING</w:t>
      </w:r>
    </w:p>
    <w:p w:rsidRPr="00243FCE" w:rsidR="00243FCE" w:rsidP="1BA46890" w:rsidRDefault="00243FCE" w14:paraId="25DD2A1D" w14:textId="77777777" w14:noSpellErr="1">
      <w:pPr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243FCE" w:rsidP="0B2952FE" w:rsidRDefault="00243FCE" w14:paraId="29D32326" w14:textId="77777777">
      <w:pPr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0B2952FE" w:rsidR="00243FC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Participation and Leadership</w:t>
      </w:r>
    </w:p>
    <w:p w:rsidRPr="00243FCE" w:rsidR="00243FCE" w:rsidP="1BA46890" w:rsidRDefault="00243FCE" w14:paraId="178ACB79" w14:textId="77777777" w14:noSpellErr="1">
      <w:pPr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243FCE" w:rsidP="1BA46890" w:rsidRDefault="00243FCE" w14:paraId="045B5A0D" w14:textId="70A90381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a) </w:t>
      </w:r>
      <w:r>
        <w:tab/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Are women and other at-risk groups actively involved in all aspects of livelihoods programming design,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implementation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monitoring?</w:t>
      </w:r>
    </w:p>
    <w:p w:rsidRPr="00243FCE" w:rsidR="00243FCE" w:rsidP="1BA46890" w:rsidRDefault="00243FCE" w14:paraId="5354852B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243FCE" w:rsidR="00243FCE" w:rsidP="1BA46890" w:rsidRDefault="00243FCE" w14:paraId="3F9A56B3" w14:textId="1EF8573D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b) </w:t>
      </w:r>
      <w:r>
        <w:tab/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What is the ratio of male to female livelihoods staff, including in positions of leadership?</w:t>
      </w:r>
    </w:p>
    <w:p w:rsidRPr="00243FCE" w:rsidR="00243FCE" w:rsidP="1BA46890" w:rsidRDefault="00243FCE" w14:paraId="1EFCF0CA" w14:textId="2335ADE6" w14:noSpellErr="1">
      <w:pPr>
        <w:pStyle w:val="ListParagraph"/>
        <w:numPr>
          <w:ilvl w:val="1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systems in place for training and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retaining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female staff?</w:t>
      </w:r>
    </w:p>
    <w:p w:rsidR="00243FCE" w:rsidP="1BA46890" w:rsidRDefault="00243FCE" w14:paraId="68AE2E1A" w14:noSpellErr="1" w14:textId="131FF641">
      <w:pPr>
        <w:pStyle w:val="ListParagraph"/>
        <w:numPr>
          <w:ilvl w:val="1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there any cultural or security issues related to their employment that may increase their risk of </w:t>
      </w:r>
      <w:r w:rsidRPr="1BA46890" w:rsidR="18DB222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VAWG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?</w:t>
      </w:r>
    </w:p>
    <w:p w:rsidRPr="00243FCE" w:rsidR="00243FCE" w:rsidP="1BA46890" w:rsidRDefault="00243FCE" w14:paraId="0E6FC752" w14:textId="77777777" w14:noSpellErr="1">
      <w:pPr>
        <w:spacing w:after="0" w:line="264" w:lineRule="auto"/>
        <w:ind w:left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243FCE" w:rsidR="00243FCE" w:rsidP="1BA46890" w:rsidRDefault="00243FCE" w14:paraId="0A2201F5" w14:noSpellErr="1" w14:textId="6990DDB7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c) </w:t>
      </w:r>
      <w:r>
        <w:tab/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Are the lead actors in livelihoods programming aware of international standards (including the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IASC GBV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Guidelines)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for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integrating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strategies </w:t>
      </w:r>
      <w:r w:rsidRPr="1BA46890" w:rsidR="2E2AF015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for the mitigation of risks of VAWG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into their activities?</w:t>
      </w:r>
    </w:p>
    <w:p w:rsidR="00243FCE" w:rsidP="1BA46890" w:rsidRDefault="00243FCE" w14:paraId="467F14F7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243FCE" w:rsidP="0B2952FE" w:rsidRDefault="00243FCE" w14:paraId="55B1D62A" w14:textId="1BEBF768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0B2952FE" w:rsidR="00243FC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Cultural and Community Norms and Practices</w:t>
      </w:r>
    </w:p>
    <w:p w:rsidRPr="00243FCE" w:rsidR="00243FCE" w:rsidP="0B2952FE" w:rsidRDefault="00243FCE" w14:paraId="762C3B56" w14:textId="77777777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</w:p>
    <w:p w:rsidRPr="00243FCE" w:rsidR="00243FCE" w:rsidP="1BA46890" w:rsidRDefault="00243FCE" w14:paraId="085E0E06" w14:textId="458B6DD8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d) </w:t>
      </w:r>
      <w:r>
        <w:tab/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How has the crisis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impacted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communities’ economic coping strategies, livestock management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strategies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access to safe livelihoods activities—particularly for females and other at-risk groups?</w:t>
      </w:r>
    </w:p>
    <w:p w:rsidRPr="00243FCE" w:rsidR="00243FCE" w:rsidP="1BA46890" w:rsidRDefault="00243FCE" w14:paraId="1B4CA0BF" w14:textId="152ADE82" w14:noSpellErr="1">
      <w:pPr>
        <w:pStyle w:val="ListParagraph"/>
        <w:numPr>
          <w:ilvl w:val="1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What are the harmful psychological,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physical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social impacts of changes in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livelihoods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activities?</w:t>
      </w:r>
    </w:p>
    <w:p w:rsidR="1BA46890" w:rsidP="1BA46890" w:rsidRDefault="1BA46890" w14:paraId="13962F6D" w14:textId="00D4CFA7">
      <w:pPr>
        <w:pStyle w:val="Normal"/>
        <w:spacing w:after="0" w:line="264" w:lineRule="auto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243FCE" w:rsidP="1BA46890" w:rsidRDefault="00243FCE" w14:paraId="5F0D9188" w14:textId="722D9EF3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e) </w:t>
      </w:r>
      <w:r>
        <w:tab/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What cultural barriers do women, adolescent girls and other at-risk groups face in accessing markets,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livelihoods activities, livestock management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strategies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financial services (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e.g.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gender norms that exclude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females from certain types of work; discrimination against women in the workplace or marketplace; etc.)?</w:t>
      </w:r>
    </w:p>
    <w:p w:rsidRPr="00243FCE" w:rsidR="00243FCE" w:rsidP="1BA46890" w:rsidRDefault="00243FCE" w14:paraId="0770EE6B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243FCE" w:rsidP="1BA46890" w:rsidRDefault="00243FCE" w14:paraId="3FE8823E" w14:noSpellErr="1" w14:textId="2D74D1B7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f) </w:t>
      </w:r>
      <w:r>
        <w:tab/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What physical, logistical, legal or educational issues prevent women, adolescent girls and other at-risk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groups from accessing livelihoods opportunities and/or sustain divisions</w:t>
      </w:r>
      <w:r w:rsidRPr="1BA46890" w:rsidR="7E02702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between men and women related to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income-generating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activities (e.g. mobility or transportation issues; childcare and other domestic responsibilities; disabilities;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legal barriers preventing refugees from accessing jobs in the formal sector; legal barriers to ownership of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property, land or other productive assets; illiteracy; lack of training; etc.)?</w:t>
      </w:r>
    </w:p>
    <w:p w:rsidRPr="00243FCE" w:rsidR="00243FCE" w:rsidP="1BA46890" w:rsidRDefault="00243FCE" w14:paraId="2C805DE5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243FCE" w:rsidR="00243FCE" w:rsidP="1BA46890" w:rsidRDefault="00243FCE" w14:paraId="09C35628" w14:textId="61858176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g) </w:t>
      </w:r>
      <w:r>
        <w:tab/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Are there unequal gender norms that livelihoods programs risk perpetuating (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e.g.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by placing women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only in caretaking and childcare jobs; by placing men only in traditionally male jobs such as guarding an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d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mechanical maintenance; by delivering skills training programs that reinforce stereotypes; etc.)?</w:t>
      </w:r>
    </w:p>
    <w:p w:rsidR="00243FCE" w:rsidP="1BA46890" w:rsidRDefault="00243FCE" w14:paraId="4090C060" w14:textId="1A41A6AC" w14:noSpellErr="1">
      <w:pPr>
        <w:pStyle w:val="ListParagraph"/>
        <w:numPr>
          <w:ilvl w:val="1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Do livelihoods activities shift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additional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burdens to women, adolescent girls and other at-risk groups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participating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in the activities?</w:t>
      </w:r>
    </w:p>
    <w:p w:rsidRPr="00243FCE" w:rsidR="00243FCE" w:rsidP="1BA46890" w:rsidRDefault="00243FCE" w14:paraId="348A2FCA" w14:textId="77777777" w14:noSpellErr="1">
      <w:pPr>
        <w:spacing w:after="0" w:line="264" w:lineRule="auto"/>
        <w:ind w:left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243FCE" w:rsidP="1BA46890" w:rsidRDefault="00243FCE" w14:paraId="4DE5EF74" w14:noSpellErr="1" w14:textId="734ED48F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h) </w:t>
      </w:r>
      <w:r>
        <w:tab/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Have market surveys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identified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livelihoods activities that are </w:t>
      </w:r>
      <w:r w:rsidRPr="1BA46890" w:rsidR="72C2E21D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safe,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profitable and empowering, particularly for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women, adolescent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girls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other at-risk groups?</w:t>
      </w:r>
    </w:p>
    <w:p w:rsidRPr="00243FCE" w:rsidR="00243FCE" w:rsidP="1BA46890" w:rsidRDefault="00243FCE" w14:paraId="3AC62A94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243FCE" w:rsidR="00243FCE" w:rsidP="1BA46890" w:rsidRDefault="00243FCE" w14:paraId="302D4ADD" w14:textId="228246A8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) </w:t>
      </w:r>
      <w:r>
        <w:tab/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What are the preferences and cultural habits to consider before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determining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the type of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livelihoods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activities,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locations,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services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goods?</w:t>
      </w:r>
    </w:p>
    <w:p w:rsidRPr="00243FCE" w:rsidR="00243FCE" w:rsidP="1BA46890" w:rsidRDefault="00243FCE" w14:paraId="549DC2F8" w14:textId="49E46A46" w14:noSpellErr="1">
      <w:pPr>
        <w:pStyle w:val="ListParagraph"/>
        <w:numPr>
          <w:ilvl w:val="1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What livelihoods practices were people engaged in before the emergency?</w:t>
      </w:r>
    </w:p>
    <w:p w:rsidRPr="00243FCE" w:rsidR="00243FCE" w:rsidP="1BA46890" w:rsidRDefault="00243FCE" w14:paraId="12B09FC9" w14:textId="5F7D253D" w14:noSpellErr="1">
      <w:pPr>
        <w:pStyle w:val="ListParagraph"/>
        <w:numPr>
          <w:ilvl w:val="1"/>
          <w:numId w:val="1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What were the roles of women, girls,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men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boys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with regard to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livestock ownership, control,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care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management?</w:t>
      </w:r>
    </w:p>
    <w:p w:rsidRPr="00243FCE" w:rsidR="00243FCE" w:rsidP="1BA46890" w:rsidRDefault="00243FCE" w14:paraId="1CEEAF93" w14:textId="58B25C25" w14:noSpellErr="1">
      <w:pPr>
        <w:pStyle w:val="ListParagraph"/>
        <w:numPr>
          <w:ilvl w:val="0"/>
          <w:numId w:val="6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What kinds of activities are forbidden to women or men by local customs?</w:t>
      </w:r>
    </w:p>
    <w:p w:rsidRPr="00243FCE" w:rsidR="00243FCE" w:rsidP="1BA46890" w:rsidRDefault="00243FCE" w14:paraId="0BD24DCF" w14:textId="1BDD5F9B" w14:noSpellErr="1">
      <w:pPr>
        <w:pStyle w:val="ListParagraph"/>
        <w:numPr>
          <w:ilvl w:val="0"/>
          <w:numId w:val="6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What is the balance of power between women and men in accessing and controlling productive assets?</w:t>
      </w:r>
    </w:p>
    <w:p w:rsidRPr="00243FCE" w:rsidR="00243FCE" w:rsidP="1BA46890" w:rsidRDefault="00243FCE" w14:paraId="730B65A4" w14:textId="218ADD3D" w14:noSpellErr="1">
      <w:pPr>
        <w:pStyle w:val="ListParagraph"/>
        <w:numPr>
          <w:ilvl w:val="0"/>
          <w:numId w:val="6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What are the risks of backlash associated with women, adolescent girls and other at-risk groups engaging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in economic programs—particularly by intimate partners and/or family members?</w:t>
      </w:r>
    </w:p>
    <w:p w:rsidR="00243FCE" w:rsidP="1BA46890" w:rsidRDefault="00243FCE" w14:paraId="6F31933F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243FCE" w:rsidP="0B2952FE" w:rsidRDefault="00243FCE" w14:paraId="174738CB" w14:textId="3F6608C7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</w:pPr>
      <w:r w:rsidRPr="0B2952FE" w:rsidR="00243FCE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 xml:space="preserve">Physical Safety and Risks of </w:t>
      </w:r>
      <w:r w:rsidRPr="0B2952FE" w:rsidR="00CE7550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1"/>
          <w:iCs w:val="1"/>
          <w:sz w:val="24"/>
          <w:szCs w:val="24"/>
        </w:rPr>
        <w:t>VAWG</w:t>
      </w:r>
    </w:p>
    <w:p w:rsidRPr="00243FCE" w:rsidR="00243FCE" w:rsidP="1BA46890" w:rsidRDefault="00243FCE" w14:paraId="5788691B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243FCE" w:rsidR="00243FCE" w:rsidP="1BA46890" w:rsidRDefault="00243FCE" w14:paraId="07C9E746" w14:noSpellErr="1" w14:textId="5438B0F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j) </w:t>
      </w:r>
      <w:r>
        <w:tab/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What are the </w:t>
      </w:r>
      <w:r w:rsidRPr="1BA46890" w:rsidR="18B5D821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VAWG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-related risks faced by affected populations—particularly women, adolescent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girls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other at-risk groups—when earning a living?</w:t>
      </w:r>
    </w:p>
    <w:p w:rsidRPr="00243FCE" w:rsidR="00243FCE" w:rsidP="1BA46890" w:rsidRDefault="00243FCE" w14:paraId="0F808881" w14:textId="446C9D85" w14:noSpellErr="1">
      <w:pPr>
        <w:pStyle w:val="ListParagraph"/>
        <w:numPr>
          <w:ilvl w:val="0"/>
          <w:numId w:val="6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Which logistical and environmental issues increase the risk of sexual assault,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harassment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or exploitation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(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e.g.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borrowing money; getting stopped by police; selling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goods from house to house; travelling at night;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travelling through unsafe areas; working in a shop by oneself; etc.)?</w:t>
      </w:r>
    </w:p>
    <w:p w:rsidR="00243FCE" w:rsidP="1BA46890" w:rsidRDefault="00243FCE" w14:paraId="666DD379" w14:textId="7398501A" w14:noSpellErr="1">
      <w:pPr>
        <w:pStyle w:val="ListParagraph"/>
        <w:numPr>
          <w:ilvl w:val="0"/>
          <w:numId w:val="7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Which livelihoods relationships increase the risk of sexual assault,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harassment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or exploitation, and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which provide safety (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e.g.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customers, suppliers, market administrators, intimate partners, etc.)? Who is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orchestrating, encouraging,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permitting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colluding in the perpetration of violence?</w:t>
      </w:r>
    </w:p>
    <w:p w:rsidRPr="00243FCE" w:rsidR="00243FCE" w:rsidP="1BA46890" w:rsidRDefault="00243FCE" w14:paraId="6751386D" w14:textId="77777777" w14:noSpellErr="1">
      <w:pPr>
        <w:spacing w:after="0" w:line="264" w:lineRule="auto"/>
        <w:ind w:left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243FCE" w:rsidR="00243FCE" w:rsidP="1BA46890" w:rsidRDefault="00243FCE" w14:paraId="01AC845D" w14:textId="2195DEB6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k) </w:t>
      </w:r>
      <w:r>
        <w:tab/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Does limited access to livelihoods assets force women and other at-risk groups to adopt unsafe survival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strategies? If so, what are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they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? What might help mitigate their risk of engaging in these survival strategies?</w:t>
      </w:r>
    </w:p>
    <w:p w:rsidR="00243FCE" w:rsidP="1BA46890" w:rsidRDefault="00243FCE" w14:paraId="10AB73CE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243FCE" w:rsidP="1BA46890" w:rsidRDefault="00243FCE" w14:paraId="525EA280" w14:textId="0D8DB6D3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Areas Related to Livelihoods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POLICIES</w:t>
      </w:r>
    </w:p>
    <w:p w:rsidRPr="00243FCE" w:rsidR="00243FCE" w:rsidP="1BA46890" w:rsidRDefault="00243FCE" w14:paraId="0DEB0231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243FCE" w:rsidR="00243FCE" w:rsidP="1BA46890" w:rsidRDefault="00243FCE" w14:paraId="1F04EA16" w14:noSpellErr="1" w14:textId="5F8AC842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a) </w:t>
      </w:r>
      <w:r>
        <w:tab/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</w:t>
      </w:r>
      <w:r w:rsidRPr="1BA46890" w:rsidR="2C9ACF8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VAWG risk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mitigation strategies incorporated into the policies,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standards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guidelines of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livelihoods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programs?</w:t>
      </w:r>
    </w:p>
    <w:p w:rsidRPr="00243FCE" w:rsidR="00243FCE" w:rsidP="1BA46890" w:rsidRDefault="00243FCE" w14:paraId="48FC943F" w14:noSpellErr="1" w14:textId="73F0F7A6">
      <w:pPr>
        <w:pStyle w:val="ListParagraph"/>
        <w:numPr>
          <w:ilvl w:val="0"/>
          <w:numId w:val="7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Are women, girls and other at-risk groups meaningfully engaged in the development of livelihoods policies,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standards and guidelines that address their rights and needs, particularly as they relate to </w:t>
      </w:r>
      <w:r w:rsidRPr="1BA46890" w:rsidR="08F67E2C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VAWG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? In what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ways are they engaged?</w:t>
      </w:r>
    </w:p>
    <w:p w:rsidRPr="00243FCE" w:rsidR="00243FCE" w:rsidP="1BA46890" w:rsidRDefault="00243FCE" w14:paraId="76B1D1A4" w14:textId="4F9B00B9" w14:noSpellErr="1">
      <w:pPr>
        <w:pStyle w:val="ListParagraph"/>
        <w:numPr>
          <w:ilvl w:val="0"/>
          <w:numId w:val="7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these policies, standards and guidelines communicated to women, girls,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boys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men (separately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when necessary)?</w:t>
      </w:r>
    </w:p>
    <w:p w:rsidR="00243FCE" w:rsidP="1BA46890" w:rsidRDefault="00243FCE" w14:paraId="1EC482A8" w14:textId="105A1028" w14:noSpellErr="1">
      <w:pPr>
        <w:pStyle w:val="ListParagraph"/>
        <w:numPr>
          <w:ilvl w:val="0"/>
          <w:numId w:val="7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livelihoods staff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properly trained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equipped with the necessary skills to implement these policies?</w:t>
      </w:r>
    </w:p>
    <w:p w:rsidRPr="00243FCE" w:rsidR="00243FCE" w:rsidP="1BA46890" w:rsidRDefault="00243FCE" w14:paraId="33AE0055" w14:textId="77777777" w14:noSpellErr="1">
      <w:pPr>
        <w:spacing w:after="0" w:line="264" w:lineRule="auto"/>
        <w:ind w:left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243FCE" w:rsidP="1BA46890" w:rsidRDefault="00243FCE" w14:paraId="4BEBD493" w14:textId="0F23888F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b) </w:t>
      </w:r>
      <w:r>
        <w:tab/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What is the legal status of females related to legal employment, property ownership, inheritance, access</w:t>
      </w:r>
      <w:r w:rsidRPr="1BA46890" w:rsidR="00F1287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to land and natural resources, and access to education? Do females have any legal protections against</w:t>
      </w:r>
      <w:r w:rsidRPr="1BA46890" w:rsidR="00F1287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economic exploitation in marriage?</w:t>
      </w:r>
    </w:p>
    <w:p w:rsidRPr="00243FCE" w:rsidR="00F12872" w:rsidP="1BA46890" w:rsidRDefault="00F12872" w14:paraId="2160021D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243FCE" w:rsidP="1BA46890" w:rsidRDefault="00243FCE" w14:paraId="09C696D3" w14:textId="1299C3E3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c) </w:t>
      </w:r>
      <w:r>
        <w:tab/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What does the legislation say about refugees’ entitlement to work? What are the formal/informal practices</w:t>
      </w:r>
      <w:r w:rsidRPr="1BA46890" w:rsidR="00F1287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regarding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refugees and livelihoods?</w:t>
      </w:r>
    </w:p>
    <w:p w:rsidRPr="00243FCE" w:rsidR="00F12872" w:rsidP="1BA46890" w:rsidRDefault="00F12872" w14:paraId="06B128FA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243FCE" w:rsidP="1BA46890" w:rsidRDefault="00243FCE" w14:paraId="2294DFA4" w14:textId="031A790A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d) </w:t>
      </w:r>
      <w:r>
        <w:tab/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What is the legal age of employment, and what are the laws around child labor?</w:t>
      </w:r>
    </w:p>
    <w:p w:rsidRPr="00243FCE" w:rsidR="00F12872" w:rsidP="1BA46890" w:rsidRDefault="00F12872" w14:paraId="7A203B09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243FCE" w:rsidR="00F12872" w:rsidP="1BA46890" w:rsidRDefault="00243FCE" w14:paraId="42B3AF5D" w14:textId="29A2189A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e) </w:t>
      </w:r>
      <w:r>
        <w:tab/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Are there national action plans for poverty reduction? Are there youth and/or gender strategies/action plans?</w:t>
      </w:r>
    </w:p>
    <w:p w:rsidRPr="00F12872" w:rsidR="00243FCE" w:rsidP="1BA46890" w:rsidRDefault="00243FCE" w14:paraId="72E2F326" w14:textId="4697BFD7" w14:noSpellErr="1">
      <w:pPr>
        <w:pStyle w:val="ListParagraph"/>
        <w:numPr>
          <w:ilvl w:val="0"/>
          <w:numId w:val="7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Do these plans support the economic empowerment of women, adolescent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girls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other at-risk groups?</w:t>
      </w:r>
    </w:p>
    <w:p w:rsidR="00243FCE" w:rsidP="1BA46890" w:rsidRDefault="00243FCE" w14:paraId="0796EE39" w14:textId="6F151C64" w14:noSpellErr="1">
      <w:pPr>
        <w:pStyle w:val="ListParagraph"/>
        <w:numPr>
          <w:ilvl w:val="0"/>
          <w:numId w:val="7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livelihoods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programs set up in alignment with these plans?</w:t>
      </w:r>
    </w:p>
    <w:p w:rsidRPr="003A040C" w:rsidR="003A040C" w:rsidP="1BA46890" w:rsidRDefault="003A040C" w14:paraId="4D1AF958" w14:textId="77777777" w14:noSpellErr="1">
      <w:pPr>
        <w:spacing w:after="0" w:line="264" w:lineRule="auto"/>
        <w:ind w:left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="00243FCE" w:rsidP="1BA46890" w:rsidRDefault="00243FCE" w14:paraId="443DA619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 xml:space="preserve">Areas Related to Livelihoods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u w:val="single"/>
        </w:rPr>
        <w:t>COMMUNICATIONS and INFORMATION SHARING</w:t>
      </w:r>
    </w:p>
    <w:p w:rsidRPr="00243FCE" w:rsidR="003A040C" w:rsidP="1BA46890" w:rsidRDefault="003A040C" w14:paraId="5453C094" w14:textId="77777777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Pr="00243FCE" w:rsidR="00243FCE" w:rsidP="1BA46890" w:rsidRDefault="00243FCE" w14:paraId="0C19D910" w14:textId="2C0FD338" w14:noSpellErr="1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a) </w:t>
      </w:r>
      <w:r>
        <w:tab/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Has training been provided to livelihoods staff on:</w:t>
      </w:r>
    </w:p>
    <w:p w:rsidR="1F787B6D" w:rsidP="1BA46890" w:rsidRDefault="1F787B6D" w14:paraId="369AF2FB" w14:textId="15F3C7C2">
      <w:pPr>
        <w:pStyle w:val="ListParagraph"/>
        <w:numPr>
          <w:ilvl w:val="0"/>
          <w:numId w:val="7"/>
        </w:numPr>
        <w:spacing w:after="0" w:line="264" w:lineRule="auto"/>
        <w:ind w:left="1440" w:hanging="72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0B2952FE" w:rsidR="1F787B6D">
        <w:rPr>
          <w:rFonts w:ascii="Aptos" w:hAnsi="Aptos" w:eastAsia="Aptos" w:cs="Aptos"/>
          <w:noProof w:val="0"/>
          <w:sz w:val="24"/>
          <w:szCs w:val="24"/>
          <w:lang w:val="en-US"/>
        </w:rPr>
        <w:t>VAWG risk identification and mitigation</w:t>
      </w:r>
      <w:r w:rsidRPr="0B2952FE" w:rsidR="1F787B6D">
        <w:rPr>
          <w:rFonts w:ascii="Aptos" w:hAnsi="Aptos" w:eastAsia="Aptos" w:cs="Aptos"/>
          <w:noProof w:val="0"/>
          <w:sz w:val="24"/>
          <w:szCs w:val="24"/>
          <w:lang w:val="en-US"/>
        </w:rPr>
        <w:t>?</w:t>
      </w:r>
      <w:r w:rsidRPr="0B2952FE" w:rsidR="6153577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B2952FE" w:rsidR="61535775">
        <w:rPr>
          <w:rFonts w:ascii="Aptos" w:hAnsi="Aptos" w:eastAsia="Aptos" w:cs="Aptos"/>
          <w:noProof w:val="0"/>
          <w:color w:val="000000" w:themeColor="text1" w:themeTint="FF" w:themeShade="FF"/>
          <w:lang w:val="en-US"/>
        </w:rPr>
        <w:t>(i.e.: the pre-requisite course for this Toolkit, on CARE’s learning platform, Disco)</w:t>
      </w:r>
    </w:p>
    <w:p w:rsidRPr="00385E06" w:rsidR="00243FCE" w:rsidP="1BA46890" w:rsidRDefault="00243FCE" w14:paraId="517528B2" w14:textId="66FB7412">
      <w:pPr>
        <w:pStyle w:val="ListParagraph"/>
        <w:numPr>
          <w:ilvl w:val="0"/>
          <w:numId w:val="7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0B2952FE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How to supportively engage with survivors and provide information in an ethical, </w:t>
      </w:r>
      <w:r w:rsidRPr="0B2952FE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safe</w:t>
      </w:r>
      <w:r w:rsidRPr="0B2952FE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confidential</w:t>
      </w:r>
      <w:r w:rsidRPr="0B2952FE" w:rsidR="00385E0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0B2952FE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manner about their rights and options to report risk and access care?</w:t>
      </w:r>
      <w:r w:rsidRPr="0B2952FE" w:rsidR="00385E0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(</w:t>
      </w:r>
      <w:r w:rsidRPr="0B2952FE" w:rsidR="00471033">
        <w:rPr>
          <w:rFonts w:ascii="Aptos" w:hAnsi="Aptos" w:eastAsia="Aptos" w:cs="Aptos"/>
          <w:noProof w:val="0"/>
          <w:color w:val="000000" w:themeColor="text1" w:themeTint="FF" w:themeShade="FF"/>
          <w:lang w:val="en-US"/>
        </w:rPr>
        <w:t xml:space="preserve">i.e.: the pre-requisite course for this Toolkit, on CARE’s learning platform, Disco; </w:t>
      </w:r>
      <w:r w:rsidRPr="0B2952FE" w:rsidR="00385E0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see</w:t>
      </w:r>
      <w:r w:rsidRPr="0B2952FE" w:rsidR="43FA9EFA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also</w:t>
      </w:r>
      <w:r w:rsidRPr="0B2952FE" w:rsidR="00385E0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the </w:t>
      </w:r>
      <w:hyperlink r:id="Rabfb9f78b3d8448e">
        <w:r w:rsidRPr="0B2952FE" w:rsidR="00385E06">
          <w:rPr>
            <w:rStyle w:val="Hyperlink"/>
            <w:rFonts w:ascii="Aptos" w:hAnsi="Aptos" w:eastAsia="Aptos" w:cs="Aptos" w:asciiTheme="minorAscii" w:hAnsiTheme="minorAscii" w:eastAsiaTheme="minorAscii" w:cstheme="minorAscii"/>
            <w:sz w:val="24"/>
            <w:szCs w:val="24"/>
          </w:rPr>
          <w:t>GBV Pocket Guide</w:t>
        </w:r>
      </w:hyperlink>
      <w:r w:rsidRPr="0B2952FE" w:rsidR="00385E06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)</w:t>
      </w:r>
    </w:p>
    <w:p w:rsidRPr="003A040C" w:rsidR="003A040C" w:rsidP="1BA46890" w:rsidRDefault="003A040C" w14:paraId="5094C8E6" w14:textId="77777777" w14:noSpellErr="1">
      <w:pPr>
        <w:spacing w:after="0" w:line="264" w:lineRule="auto"/>
        <w:ind w:left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243FCE" w:rsidR="00243FCE" w:rsidP="1BA46890" w:rsidRDefault="00243FCE" w14:paraId="256DB3CD" w14:noSpellErr="1" w14:textId="1330DF00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b) </w:t>
      </w:r>
      <w:r>
        <w:tab/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Do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livelihoods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programs raise awareness within the community about </w:t>
      </w:r>
      <w:r w:rsidRPr="1BA46890" w:rsidR="0CDD438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VAWG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risks and protective factors</w:t>
      </w:r>
      <w:r w:rsidRPr="1BA46890" w:rsidR="003A040C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related to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livelihoods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activities?</w:t>
      </w:r>
    </w:p>
    <w:p w:rsidRPr="00282C79" w:rsidR="00243FCE" w:rsidP="1BA46890" w:rsidRDefault="00243FCE" w14:paraId="59FEFBFD" w14:noSpellErr="1" w14:textId="68EEA3BA">
      <w:pPr>
        <w:pStyle w:val="ListParagraph"/>
        <w:numPr>
          <w:ilvl w:val="0"/>
          <w:numId w:val="9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Does this awareness-raising include information on survivor rights (including confidentiality at the service</w:t>
      </w:r>
      <w:r w:rsidRPr="1BA46890" w:rsidR="00282C7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delivery and community levels), where to report risk and how to access care for </w:t>
      </w:r>
      <w:r w:rsidRPr="1BA46890" w:rsidR="6BFB211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VAWG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?</w:t>
      </w:r>
      <w:r w:rsidRPr="1BA46890" w:rsidR="00282C7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</w:p>
    <w:p w:rsidRPr="003A040C" w:rsidR="00243FCE" w:rsidP="1BA46890" w:rsidRDefault="00243FCE" w14:paraId="26160E53" w14:textId="09E1A26A" w14:noSpellErr="1">
      <w:pPr>
        <w:pStyle w:val="ListParagraph"/>
        <w:numPr>
          <w:ilvl w:val="0"/>
          <w:numId w:val="9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Is this information provided in age-, gender-, and culturally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appropriate ways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?</w:t>
      </w:r>
    </w:p>
    <w:p w:rsidR="00243FCE" w:rsidP="1BA46890" w:rsidRDefault="00243FCE" w14:paraId="53C01D63" w14:textId="2E9A36B2" w14:noSpellErr="1">
      <w:pPr>
        <w:pStyle w:val="ListParagraph"/>
        <w:numPr>
          <w:ilvl w:val="0"/>
          <w:numId w:val="9"/>
        </w:numPr>
        <w:spacing w:after="0" w:line="264" w:lineRule="auto"/>
        <w:ind w:left="1440" w:hanging="72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Are males, particularly leaders in the community, engaged in these awareness-raising activities as agents</w:t>
      </w:r>
      <w:r w:rsidRPr="1BA46890" w:rsidR="00282C7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of change?</w:t>
      </w:r>
    </w:p>
    <w:p w:rsidRPr="00282C79" w:rsidR="00282C79" w:rsidP="1BA46890" w:rsidRDefault="00282C79" w14:paraId="1026C869" w14:textId="77777777" w14:noSpellErr="1">
      <w:pPr>
        <w:spacing w:after="0" w:line="264" w:lineRule="auto"/>
        <w:ind w:left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</w:p>
    <w:p w:rsidRPr="00243FCE" w:rsidR="00B75312" w:rsidP="1BA46890" w:rsidRDefault="00243FCE" w14:paraId="7D3DEAF9" w14:noSpellErr="1" w14:textId="4D2EBA2C">
      <w:pPr>
        <w:spacing w:after="0" w:line="264" w:lineRule="auto"/>
        <w:ind w:left="360" w:hanging="360"/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c) </w:t>
      </w:r>
      <w:r>
        <w:tab/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Are discussion forums on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livelihoods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age-, gender-, and culturally sensitive? Are they accessible to women,</w:t>
      </w:r>
      <w:r w:rsidRPr="1BA46890" w:rsidR="00282C7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girls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and other at-risk groups (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e.g.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confidential, with females as facilitators of women’s and girls’ discussion</w:t>
      </w:r>
      <w:r w:rsidRPr="1BA46890" w:rsidR="00282C79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groups, etc.) so that participants feel safe to raise </w:t>
      </w:r>
      <w:r w:rsidRPr="1BA46890" w:rsidR="56E56CE2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VAWG</w:t>
      </w:r>
      <w:r w:rsidRPr="1BA46890" w:rsidR="00243FCE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issues?</w:t>
      </w:r>
    </w:p>
    <w:sectPr w:rsidRPr="00243FCE" w:rsidR="00B75312" w:rsidSect="001322D3">
      <w:pgSz w:w="12240" w:h="15840" w:orient="portrait"/>
      <w:pgMar w:top="1440" w:right="1440" w:bottom="1440" w:left="1440" w:header="720" w:footer="720" w:gutter="0"/>
      <w:cols w:space="720"/>
      <w:docGrid w:linePitch="360"/>
      <w:titlePg w:val="1"/>
      <w:headerReference w:type="default" r:id="R2364a32e3cd54ff5"/>
      <w:headerReference w:type="first" r:id="R0751dd9b09a1447d"/>
      <w:footerReference w:type="default" r:id="Rcb8bd0b8f5474f7e"/>
      <w:footerReference w:type="first" r:id="Rfa3095fa889d4db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B2952FE" w:rsidTr="0B2952FE" w14:paraId="098F3E0C">
      <w:trPr>
        <w:trHeight w:val="300"/>
      </w:trPr>
      <w:tc>
        <w:tcPr>
          <w:tcW w:w="3120" w:type="dxa"/>
          <w:tcMar/>
        </w:tcPr>
        <w:p w:rsidR="0B2952FE" w:rsidP="0B2952FE" w:rsidRDefault="0B2952FE" w14:paraId="6BFCD002" w14:textId="635165E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B2952FE" w:rsidP="0B2952FE" w:rsidRDefault="0B2952FE" w14:paraId="11D992D0" w14:textId="028615E3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B2952FE" w:rsidP="0B2952FE" w:rsidRDefault="0B2952FE" w14:paraId="4DF97DA9" w14:textId="1CCE3A29">
          <w:pPr>
            <w:pStyle w:val="Header"/>
            <w:bidi w:val="0"/>
            <w:ind w:right="-115"/>
            <w:jc w:val="right"/>
          </w:pPr>
        </w:p>
      </w:tc>
    </w:tr>
  </w:tbl>
  <w:p w:rsidR="0B2952FE" w:rsidP="0B2952FE" w:rsidRDefault="0B2952FE" w14:paraId="58DDC990" w14:textId="298BEC31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B2952FE" w:rsidTr="0B2952FE" w14:paraId="513A7633">
      <w:trPr>
        <w:trHeight w:val="300"/>
      </w:trPr>
      <w:tc>
        <w:tcPr>
          <w:tcW w:w="3120" w:type="dxa"/>
          <w:tcMar/>
        </w:tcPr>
        <w:p w:rsidR="0B2952FE" w:rsidP="0B2952FE" w:rsidRDefault="0B2952FE" w14:paraId="3BED9E8F" w14:textId="37BCC72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B2952FE" w:rsidP="0B2952FE" w:rsidRDefault="0B2952FE" w14:paraId="04054D73" w14:textId="082E3DDF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B2952FE" w:rsidP="0B2952FE" w:rsidRDefault="0B2952FE" w14:paraId="2D8254C7" w14:textId="44820195">
          <w:pPr>
            <w:pStyle w:val="Header"/>
            <w:bidi w:val="0"/>
            <w:ind w:right="-115"/>
            <w:jc w:val="right"/>
          </w:pPr>
        </w:p>
      </w:tc>
    </w:tr>
  </w:tbl>
  <w:p w:rsidR="0B2952FE" w:rsidP="0B2952FE" w:rsidRDefault="0B2952FE" w14:paraId="23E93525" w14:textId="7A2AF013">
    <w:pPr>
      <w:pStyle w:val="Footer"/>
      <w:bidi w:val="0"/>
    </w:pPr>
  </w:p>
</w:ftr>
</file>

<file path=word/footnotes.xml><?xml version="1.0" encoding="utf-8"?>
<w:footnotes xmlns:w14="http://schemas.microsoft.com/office/word/2010/wordml" xmlns:w="http://schemas.openxmlformats.org/wordprocessingml/2006/main">
  <w:footnote w:type="separator" w:id="-1">
    <w:p w:rsidR="0B2952FE" w:rsidRDefault="0B2952FE" w14:paraId="0BB67014" w14:textId="7404C808">
      <w:pPr>
        <w:spacing w:after="0" w:line="240" w:lineRule="auto"/>
      </w:pPr>
      <w:r>
        <w:separator/>
      </w:r>
    </w:p>
  </w:footnote>
  <w:footnote w:type="continuationSeparator" w:id="0">
    <w:p w:rsidR="0B2952FE" w:rsidRDefault="0B2952FE" w14:paraId="460CB714" w14:textId="74CA7BB1">
      <w:pPr>
        <w:spacing w:after="0" w:line="240" w:lineRule="auto"/>
      </w:pPr>
      <w:r>
        <w:continuationSeparator/>
      </w:r>
    </w:p>
  </w:footnote>
  <w:footnote w:id="29677">
    <w:p w:rsidR="0B2952FE" w:rsidP="0B2952FE" w:rsidRDefault="0B2952FE" w14:paraId="4EB31429" w14:textId="698693F9">
      <w:pPr>
        <w:pStyle w:val="FootnoteText"/>
        <w:bidi w:val="0"/>
      </w:pPr>
      <w:r w:rsidRPr="0B2952FE">
        <w:rPr>
          <w:rStyle w:val="FootnoteReference"/>
        </w:rPr>
        <w:footnoteRef/>
      </w:r>
      <w:r w:rsidR="0B2952FE">
        <w:rPr/>
        <w:t xml:space="preserve"> N</w:t>
      </w:r>
      <w:r w:rsidRPr="0B2952FE" w:rsidR="0B2952FE">
        <w:rPr>
          <w:rFonts w:ascii="Aptos" w:hAnsi="Aptos" w:eastAsia="Aptos" w:cs="Aptos"/>
          <w:noProof w:val="0"/>
          <w:sz w:val="20"/>
          <w:szCs w:val="20"/>
          <w:lang w:val="en-US"/>
        </w:rPr>
        <w:t>OTE – this course will require a separate registration on CARE’s online learning platform, Disco.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B2952FE" w:rsidTr="0B2952FE" w14:paraId="031CA6CD">
      <w:trPr>
        <w:trHeight w:val="300"/>
      </w:trPr>
      <w:tc>
        <w:tcPr>
          <w:tcW w:w="3120" w:type="dxa"/>
          <w:tcMar/>
        </w:tcPr>
        <w:p w:rsidR="0B2952FE" w:rsidP="0B2952FE" w:rsidRDefault="0B2952FE" w14:paraId="131190E4" w14:textId="6E757A9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B2952FE" w:rsidP="0B2952FE" w:rsidRDefault="0B2952FE" w14:paraId="63915A75" w14:textId="0BF4A9F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B2952FE" w:rsidP="0B2952FE" w:rsidRDefault="0B2952FE" w14:paraId="7513F03C" w14:textId="5A2A2C8F">
          <w:pPr>
            <w:pStyle w:val="Header"/>
            <w:bidi w:val="0"/>
            <w:ind w:right="-115"/>
            <w:jc w:val="right"/>
          </w:pPr>
        </w:p>
      </w:tc>
    </w:tr>
  </w:tbl>
  <w:p w:rsidR="0B2952FE" w:rsidP="0B2952FE" w:rsidRDefault="0B2952FE" w14:paraId="1E2711BC" w14:textId="5EFE0184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9360"/>
    </w:tblGrid>
    <w:tr w:rsidR="0B2952FE" w:rsidTr="0B2952FE" w14:paraId="0ADEDE15">
      <w:trPr>
        <w:trHeight w:val="300"/>
      </w:trPr>
      <w:tc>
        <w:tcPr>
          <w:tcW w:w="9360" w:type="dxa"/>
          <w:tcMar/>
        </w:tcPr>
        <w:p w:rsidR="0B2952FE" w:rsidP="0B2952FE" w:rsidRDefault="0B2952FE" w14:paraId="21CA618B" w14:textId="095F65C0">
          <w:pPr>
            <w:pStyle w:val="Header"/>
            <w:bidi w:val="0"/>
            <w:ind w:left="-115"/>
            <w:jc w:val="left"/>
          </w:pPr>
          <w:r w:rsidR="0B2952FE">
            <w:drawing>
              <wp:inline wp14:editId="3439A642" wp14:anchorId="2D279559">
                <wp:extent cx="5810250" cy="762000"/>
                <wp:effectExtent l="0" t="0" r="0" b="0"/>
                <wp:docPr id="1390187288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390187288" name="Picture 1390187288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0212467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5810250" cy="762000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B2952FE" w:rsidP="0B2952FE" w:rsidRDefault="0B2952FE" w14:paraId="0E48706E" w14:textId="49CF38BD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44bfb3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numFmt w:val="bullet"/>
      <w:lvlText w:val="•"/>
      <w:lvlJc w:val="left"/>
      <w:pPr>
        <w:ind w:left="709" w:hanging="232"/>
      </w:pPr>
      <w:rPr>
        <w:rFonts w:hint="default" w:ascii="Arial" w:hAnsi="Aria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03e83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numFmt w:val="bullet"/>
      <w:lvlText w:val="•"/>
      <w:lvlJc w:val="left"/>
      <w:pPr>
        <w:ind w:left="709" w:hanging="232"/>
      </w:pPr>
      <w:rPr>
        <w:rFonts w:hint="default" w:ascii="Arial" w:hAnsi="Aria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4af4e66"/>
    <w:multiLevelType xmlns:w="http://schemas.openxmlformats.org/wordprocessingml/2006/main" w:val="hybridMultilevel"/>
    <w:lvl xmlns:w="http://schemas.openxmlformats.org/wordprocessingml/2006/main" w:ilvl="0">
      <w:numFmt w:val="bullet"/>
      <w:lvlText w:val="•"/>
      <w:lvlJc w:val="left"/>
      <w:pPr>
        <w:ind w:left="704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80c7f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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47272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b1045b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C6C0285"/>
    <w:multiLevelType w:val="hybridMultilevel"/>
    <w:tmpl w:val="D4C04FAC"/>
    <w:lvl w:ilvl="0" w:tplc="02302F7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9E0088"/>
    <w:multiLevelType w:val="hybridMultilevel"/>
    <w:tmpl w:val="FD7E610C"/>
    <w:lvl w:ilvl="0" w:tplc="02302F7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2236E04"/>
    <w:multiLevelType w:val="hybridMultilevel"/>
    <w:tmpl w:val="B6DA538C"/>
    <w:lvl w:ilvl="0" w:tplc="02302F7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C5D5AC7"/>
    <w:multiLevelType w:val="hybridMultilevel"/>
    <w:tmpl w:val="A6E07240"/>
    <w:lvl w:ilvl="0" w:tplc="02302F7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2A95A11"/>
    <w:multiLevelType w:val="hybridMultilevel"/>
    <w:tmpl w:val="1D3858B6"/>
    <w:lvl w:ilvl="0" w:tplc="02302F7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85E2DBF"/>
    <w:multiLevelType w:val="hybridMultilevel"/>
    <w:tmpl w:val="041E30E4"/>
    <w:lvl w:ilvl="0">
      <w:start w:val="1"/>
      <w:numFmt w:val="bullet"/>
      <w:lvlText w:val="•"/>
      <w:lvlJc w:val="left"/>
      <w:pPr>
        <w:ind w:left="720" w:hanging="360"/>
      </w:pPr>
      <w:rPr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2090F0F"/>
    <w:multiLevelType w:val="hybridMultilevel"/>
    <w:tmpl w:val="8F22A93E"/>
    <w:lvl w:ilvl="0" w:tplc="02302F7C">
      <w:numFmt w:val="bullet"/>
      <w:lvlText w:val="•"/>
      <w:lvlJc w:val="left"/>
      <w:pPr>
        <w:ind w:left="704" w:hanging="360"/>
      </w:pPr>
      <w:rPr>
        <w:rFonts w:hint="default"/>
        <w:b w:val="0"/>
        <w:bCs w:val="0"/>
        <w:i w:val="0"/>
        <w:iCs w:val="0"/>
        <w:color w:val="010101"/>
        <w:spacing w:val="-1"/>
        <w:w w:val="93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709" w:hanging="232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0"/>
        <w:w w:val="102"/>
        <w:sz w:val="21"/>
        <w:szCs w:val="21"/>
        <w:lang w:val="en-US" w:eastAsia="en-US" w:bidi="ar-SA"/>
      </w:rPr>
    </w:lvl>
    <w:lvl w:ilvl="2" w:tplc="FFFFFFFF">
      <w:numFmt w:val="bullet"/>
      <w:lvlText w:val="•"/>
      <w:lvlJc w:val="left"/>
      <w:pPr>
        <w:ind w:left="720" w:hanging="232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90" w:hanging="232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060" w:hanging="232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230" w:hanging="232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400" w:hanging="232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570" w:hanging="232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40" w:hanging="232"/>
      </w:pPr>
      <w:rPr>
        <w:rFonts w:hint="default"/>
        <w:lang w:val="en-US" w:eastAsia="en-US" w:bidi="ar-SA"/>
      </w:rPr>
    </w:lvl>
  </w:abstractNum>
  <w:abstractNum w:abstractNumId="7" w15:restartNumberingAfterBreak="0">
    <w:nsid w:val="758B2373"/>
    <w:multiLevelType w:val="hybridMultilevel"/>
    <w:tmpl w:val="63E252D4"/>
    <w:lvl w:ilvl="0" w:tplc="02302F7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AFB37BC"/>
    <w:multiLevelType w:val="hybridMultilevel"/>
    <w:tmpl w:val="ED8245FA"/>
    <w:lvl w:ilvl="0" w:tplc="1478860A">
      <w:start w:val="1"/>
      <w:numFmt w:val="lowerLetter"/>
      <w:lvlText w:val="%1)"/>
      <w:lvlJc w:val="left"/>
      <w:pPr>
        <w:ind w:left="585" w:hanging="241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-1"/>
        <w:w w:val="93"/>
        <w:sz w:val="21"/>
        <w:szCs w:val="21"/>
        <w:lang w:val="en-US" w:eastAsia="en-US" w:bidi="ar-SA"/>
      </w:rPr>
    </w:lvl>
    <w:lvl w:ilvl="1" w:tplc="970E8E00">
      <w:numFmt w:val="bullet"/>
      <w:lvlText w:val="•"/>
      <w:lvlJc w:val="left"/>
      <w:pPr>
        <w:ind w:left="709" w:hanging="232"/>
      </w:pPr>
      <w:rPr>
        <w:rFonts w:hint="default" w:ascii="Arial" w:hAnsi="Arial" w:eastAsia="Arial" w:cs="Arial"/>
        <w:b w:val="0"/>
        <w:bCs w:val="0"/>
        <w:i w:val="0"/>
        <w:iCs w:val="0"/>
        <w:color w:val="010101"/>
        <w:spacing w:val="0"/>
        <w:w w:val="102"/>
        <w:sz w:val="21"/>
        <w:szCs w:val="21"/>
        <w:lang w:val="en-US" w:eastAsia="en-US" w:bidi="ar-SA"/>
      </w:rPr>
    </w:lvl>
    <w:lvl w:ilvl="2" w:tplc="1CFA1A50">
      <w:numFmt w:val="bullet"/>
      <w:lvlText w:val="•"/>
      <w:lvlJc w:val="left"/>
      <w:pPr>
        <w:ind w:left="720" w:hanging="232"/>
      </w:pPr>
      <w:rPr>
        <w:rFonts w:hint="default"/>
        <w:lang w:val="en-US" w:eastAsia="en-US" w:bidi="ar-SA"/>
      </w:rPr>
    </w:lvl>
    <w:lvl w:ilvl="3" w:tplc="AFC6BB7A">
      <w:numFmt w:val="bullet"/>
      <w:lvlText w:val="•"/>
      <w:lvlJc w:val="left"/>
      <w:pPr>
        <w:ind w:left="1890" w:hanging="232"/>
      </w:pPr>
      <w:rPr>
        <w:rFonts w:hint="default"/>
        <w:lang w:val="en-US" w:eastAsia="en-US" w:bidi="ar-SA"/>
      </w:rPr>
    </w:lvl>
    <w:lvl w:ilvl="4" w:tplc="D70228E6">
      <w:numFmt w:val="bullet"/>
      <w:lvlText w:val="•"/>
      <w:lvlJc w:val="left"/>
      <w:pPr>
        <w:ind w:left="3060" w:hanging="232"/>
      </w:pPr>
      <w:rPr>
        <w:rFonts w:hint="default"/>
        <w:lang w:val="en-US" w:eastAsia="en-US" w:bidi="ar-SA"/>
      </w:rPr>
    </w:lvl>
    <w:lvl w:ilvl="5" w:tplc="681C62EC">
      <w:numFmt w:val="bullet"/>
      <w:lvlText w:val="•"/>
      <w:lvlJc w:val="left"/>
      <w:pPr>
        <w:ind w:left="4230" w:hanging="232"/>
      </w:pPr>
      <w:rPr>
        <w:rFonts w:hint="default"/>
        <w:lang w:val="en-US" w:eastAsia="en-US" w:bidi="ar-SA"/>
      </w:rPr>
    </w:lvl>
    <w:lvl w:ilvl="6" w:tplc="670A7314">
      <w:numFmt w:val="bullet"/>
      <w:lvlText w:val="•"/>
      <w:lvlJc w:val="left"/>
      <w:pPr>
        <w:ind w:left="5400" w:hanging="232"/>
      </w:pPr>
      <w:rPr>
        <w:rFonts w:hint="default"/>
        <w:lang w:val="en-US" w:eastAsia="en-US" w:bidi="ar-SA"/>
      </w:rPr>
    </w:lvl>
    <w:lvl w:ilvl="7" w:tplc="24788686">
      <w:numFmt w:val="bullet"/>
      <w:lvlText w:val="•"/>
      <w:lvlJc w:val="left"/>
      <w:pPr>
        <w:ind w:left="6570" w:hanging="232"/>
      </w:pPr>
      <w:rPr>
        <w:rFonts w:hint="default"/>
        <w:lang w:val="en-US" w:eastAsia="en-US" w:bidi="ar-SA"/>
      </w:rPr>
    </w:lvl>
    <w:lvl w:ilvl="8" w:tplc="3B906D4E">
      <w:numFmt w:val="bullet"/>
      <w:lvlText w:val="•"/>
      <w:lvlJc w:val="left"/>
      <w:pPr>
        <w:ind w:left="7740" w:hanging="232"/>
      </w:pPr>
      <w:rPr>
        <w:rFonts w:hint="default"/>
        <w:lang w:val="en-US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1" w16cid:durableId="2023043720">
    <w:abstractNumId w:val="8"/>
  </w:num>
  <w:num w:numId="2" w16cid:durableId="1763254478">
    <w:abstractNumId w:val="6"/>
  </w:num>
  <w:num w:numId="3" w16cid:durableId="1987466473">
    <w:abstractNumId w:val="2"/>
  </w:num>
  <w:num w:numId="4" w16cid:durableId="763107640">
    <w:abstractNumId w:val="0"/>
  </w:num>
  <w:num w:numId="5" w16cid:durableId="1847480339">
    <w:abstractNumId w:val="1"/>
  </w:num>
  <w:num w:numId="6" w16cid:durableId="2038313848">
    <w:abstractNumId w:val="4"/>
  </w:num>
  <w:num w:numId="7" w16cid:durableId="1549028586">
    <w:abstractNumId w:val="5"/>
  </w:num>
  <w:num w:numId="8" w16cid:durableId="799613682">
    <w:abstractNumId w:val="3"/>
  </w:num>
  <w:num w:numId="9" w16cid:durableId="164319380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08"/>
    <w:rsid w:val="000C3289"/>
    <w:rsid w:val="001322D3"/>
    <w:rsid w:val="0014453F"/>
    <w:rsid w:val="00243FCE"/>
    <w:rsid w:val="00282C79"/>
    <w:rsid w:val="00385E06"/>
    <w:rsid w:val="003A040C"/>
    <w:rsid w:val="00471033"/>
    <w:rsid w:val="006E6B8C"/>
    <w:rsid w:val="00883A08"/>
    <w:rsid w:val="009C61BE"/>
    <w:rsid w:val="00A863B7"/>
    <w:rsid w:val="00B26705"/>
    <w:rsid w:val="00B75312"/>
    <w:rsid w:val="00CE7550"/>
    <w:rsid w:val="00D0059F"/>
    <w:rsid w:val="00F12872"/>
    <w:rsid w:val="00F561F5"/>
    <w:rsid w:val="01693859"/>
    <w:rsid w:val="05833895"/>
    <w:rsid w:val="06778897"/>
    <w:rsid w:val="08F67E2C"/>
    <w:rsid w:val="0B2952FE"/>
    <w:rsid w:val="0C03B123"/>
    <w:rsid w:val="0C11F86E"/>
    <w:rsid w:val="0CDD438E"/>
    <w:rsid w:val="189EBB44"/>
    <w:rsid w:val="18B5D821"/>
    <w:rsid w:val="18DB2225"/>
    <w:rsid w:val="1BA46890"/>
    <w:rsid w:val="1F787B6D"/>
    <w:rsid w:val="204D9964"/>
    <w:rsid w:val="2C9ACF82"/>
    <w:rsid w:val="2D1C43F2"/>
    <w:rsid w:val="2E2AF015"/>
    <w:rsid w:val="389B5A9D"/>
    <w:rsid w:val="3B4832C8"/>
    <w:rsid w:val="43FA9EFA"/>
    <w:rsid w:val="4BE160B1"/>
    <w:rsid w:val="4D9809EB"/>
    <w:rsid w:val="56E56CE2"/>
    <w:rsid w:val="5AAE7BFC"/>
    <w:rsid w:val="5BE12F7A"/>
    <w:rsid w:val="61535775"/>
    <w:rsid w:val="647AA539"/>
    <w:rsid w:val="67DC1E87"/>
    <w:rsid w:val="6B2C2961"/>
    <w:rsid w:val="6BFB211E"/>
    <w:rsid w:val="6D9B955F"/>
    <w:rsid w:val="71A5DA3B"/>
    <w:rsid w:val="727128A3"/>
    <w:rsid w:val="72C2E21D"/>
    <w:rsid w:val="791F05F6"/>
    <w:rsid w:val="7CEEFF0C"/>
    <w:rsid w:val="7DE88F5B"/>
    <w:rsid w:val="7E02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67CC3"/>
  <w15:chartTrackingRefBased/>
  <w15:docId w15:val="{1D10F40A-66F7-BD48-89B0-ACAC7CB709D1}"/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83A08"/>
  </w:style>
  <w:style w:type="paragraph" w:styleId="Heading1">
    <w:name w:val="heading 1"/>
    <w:basedOn w:val="Normal"/>
    <w:next w:val="Normal"/>
    <w:link w:val="Heading1Char"/>
    <w:uiPriority w:val="9"/>
    <w:qFormat/>
    <w:rsid w:val="00883A0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3A0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83A0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83A0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83A0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83A0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83A0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83A0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83A0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83A0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83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A0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83A0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83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A0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83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A0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83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A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3A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A08"/>
    <w:rPr>
      <w:color w:val="605E5C"/>
      <w:shd w:val="clear" w:color="auto" w:fill="E1DFDD"/>
    </w:rPr>
  </w:style>
  <w:style w:type="paragraph" w:styleId="Header">
    <w:uiPriority w:val="99"/>
    <w:name w:val="header"/>
    <w:basedOn w:val="Normal"/>
    <w:unhideWhenUsed/>
    <w:rsid w:val="0B2952F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0B2952F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rsid w:val="0B2952FE"/>
    <w:rPr>
      <w:sz w:val="20"/>
      <w:szCs w:val="20"/>
    </w:rPr>
    <w:pPr>
      <w:spacing w:after="0" w:line="240" w:lineRule="auto"/>
    </w:pPr>
  </w:style>
  <w:style w:type="character" w:styleId="FootnoteReference">
    <w:uiPriority w:val="99"/>
    <w:name w:val="footnote reference"/>
    <w:basedOn w:val="DefaultParagraphFont"/>
    <w:semiHidden/>
    <w:unhideWhenUsed/>
    <w:rsid w:val="0B2952FE"/>
    <w:rPr>
      <w:vertAlign w:val="superscript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11/relationships/people" Target="people.xml" Id="Rd9044f9111104e8a" /><Relationship Type="http://schemas.microsoft.com/office/2011/relationships/commentsExtended" Target="commentsExtended.xml" Id="R7b163b88f7714552" /><Relationship Type="http://schemas.microsoft.com/office/2016/09/relationships/commentsIds" Target="commentsIds.xml" Id="Ra1e120d1ed724d64" /><Relationship Type="http://schemas.openxmlformats.org/officeDocument/2006/relationships/hyperlink" Target="https://gbvguidelines.org/sp-toolkit/start/" TargetMode="External" Id="R1eb3e2aac887422a" /><Relationship Type="http://schemas.openxmlformats.org/officeDocument/2006/relationships/hyperlink" Target="https://gbvguidelines.org/wp/wp-content/uploads/2015/09/TAG-livelihood-08_26_2015.pdf" TargetMode="External" Id="R6186db74a064483f" /><Relationship Type="http://schemas.openxmlformats.org/officeDocument/2006/relationships/hyperlink" Target="http://www.gbvguidelines.org/" TargetMode="External" Id="R6ce9385254be4084" /><Relationship Type="http://schemas.openxmlformats.org/officeDocument/2006/relationships/hyperlink" Target="https://gbvguidelines.org/wp/wp-content/uploads/2025/12/Tipsheet-for-non-GBV-specialists-on-asking-safety-related-questions.docx" TargetMode="External" Id="R3ed55c0ce92e4a0d" /><Relationship Type="http://schemas.openxmlformats.org/officeDocument/2006/relationships/hyperlink" Target="https://care.disco.co/p/for-do-no-harm-in-practice-toolkit-responding-to-gender-based-violence-disc&#8230;" TargetMode="External" Id="Rdf4837fe1901426a" /><Relationship Type="http://schemas.openxmlformats.org/officeDocument/2006/relationships/hyperlink" Target="http://www.gbvguidelines.org/en/pocketguide" TargetMode="External" Id="Rabfb9f78b3d8448e" /><Relationship Type="http://schemas.openxmlformats.org/officeDocument/2006/relationships/header" Target="header.xml" Id="R2364a32e3cd54ff5" /><Relationship Type="http://schemas.openxmlformats.org/officeDocument/2006/relationships/header" Target="header2.xml" Id="R0751dd9b09a1447d" /><Relationship Type="http://schemas.openxmlformats.org/officeDocument/2006/relationships/footer" Target="footer.xml" Id="Rcb8bd0b8f5474f7e" /><Relationship Type="http://schemas.openxmlformats.org/officeDocument/2006/relationships/footer" Target="footer2.xml" Id="Rfa3095fa889d4db1" /><Relationship Type="http://schemas.openxmlformats.org/officeDocument/2006/relationships/footnotes" Target="footnotes.xml" Id="Rb62e5e5fc942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30212467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Erin Patrick</dc:creator>
  <keywords/>
  <dc:description/>
  <lastModifiedBy>Erin Patrick</lastModifiedBy>
  <revision>12</revision>
  <dcterms:created xsi:type="dcterms:W3CDTF">2025-09-26T18:15:00.0000000Z</dcterms:created>
  <dcterms:modified xsi:type="dcterms:W3CDTF">2026-02-27T21:56:52.5019920Z</dcterms:modified>
</coreProperties>
</file>