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2A4D9B" w:rsidP="2A5E88AA" w:rsidRDefault="002A4D9B" w14:paraId="504AE408" w14:textId="09925A33">
      <w:pPr>
        <w:spacing w:after="0" w:line="264" w:lineRule="auto"/>
        <w:rPr>
          <w:b w:val="1"/>
          <w:bCs w:val="1"/>
          <w:sz w:val="28"/>
          <w:szCs w:val="28"/>
        </w:rPr>
      </w:pPr>
      <w:r w:rsidRPr="2A5E88AA" w:rsidR="312F5B99">
        <w:rPr>
          <w:b w:val="1"/>
          <w:bCs w:val="1"/>
          <w:sz w:val="28"/>
          <w:szCs w:val="28"/>
        </w:rPr>
        <w:t>ESSENTIAL VAWG RISK MITIGATION ACTIONS</w:t>
      </w:r>
      <w:r w:rsidRPr="2A5E88AA" w:rsidR="16983530">
        <w:rPr>
          <w:b w:val="1"/>
          <w:bCs w:val="1"/>
          <w:sz w:val="28"/>
          <w:szCs w:val="28"/>
        </w:rPr>
        <w:t xml:space="preserve"> - </w:t>
      </w:r>
      <w:r w:rsidRPr="2A5E88AA" w:rsidR="16983530">
        <w:rPr>
          <w:b w:val="1"/>
          <w:bCs w:val="1"/>
          <w:sz w:val="28"/>
          <w:szCs w:val="28"/>
          <w:u w:val="single"/>
        </w:rPr>
        <w:t>NUTRITION</w:t>
      </w:r>
    </w:p>
    <w:p w:rsidRPr="00A56401" w:rsidR="002A4D9B" w:rsidP="0028A71C" w:rsidRDefault="002A4D9B" w14:paraId="641AE58A" w14:noSpellErr="1" w14:textId="13632420">
      <w:pPr>
        <w:spacing w:after="0" w:line="264" w:lineRule="auto"/>
        <w:rPr>
          <w:i w:val="1"/>
          <w:iCs w:val="1"/>
        </w:rPr>
      </w:pPr>
      <w:r w:rsidRPr="0028A71C" w:rsidR="30ADB405">
        <w:rPr>
          <w:i w:val="1"/>
          <w:iCs w:val="1"/>
        </w:rPr>
        <w:t>Source: IASC GBV Guidelines</w:t>
      </w:r>
      <w:r w:rsidRPr="0028A71C" w:rsidR="44DE924D">
        <w:rPr>
          <w:i w:val="1"/>
          <w:iCs w:val="1"/>
        </w:rPr>
        <w:t>, UNICEF</w:t>
      </w:r>
    </w:p>
    <w:p w:rsidRPr="00A56401" w:rsidR="002A4D9B" w:rsidP="002A4D9B" w:rsidRDefault="002A4D9B" w14:paraId="76E4C8C7" w14:textId="77777777">
      <w:pPr>
        <w:spacing w:after="0" w:line="264" w:lineRule="auto"/>
      </w:pPr>
    </w:p>
    <w:p w:rsidRPr="002A4D9B" w:rsidR="002A4D9B" w:rsidP="002A4D9B" w:rsidRDefault="002A4D9B" w14:paraId="41F77ED7" w14:textId="77777777">
      <w:pPr>
        <w:spacing w:after="0" w:line="264" w:lineRule="auto"/>
        <w:rPr>
          <w:i/>
          <w:iCs/>
        </w:rPr>
      </w:pPr>
      <w:proofErr w:type="gramStart"/>
      <w:r w:rsidRPr="002A4D9B">
        <w:rPr>
          <w:b/>
          <w:bCs/>
          <w:i/>
          <w:iCs/>
        </w:rPr>
        <w:t>Note :</w:t>
      </w:r>
      <w:proofErr w:type="gramEnd"/>
      <w:r w:rsidRPr="002A4D9B">
        <w:rPr>
          <w:i/>
          <w:iCs/>
        </w:rPr>
        <w:t xml:space="preserve"> successful program implementation strategies will necessarily be dependent on the specific context in which you’re working. The precise intervention that may be successful in in building the capacity of Nutrition actors to respond safely and appropriately to disclosures of violence in a nutrition center may not have the same impact in improving safe access to nutrition facilities, for example. For that reason, the examples provided in this toolkit are not prescriptive: we cannot tell you exactly what will work in your specific context.  </w:t>
      </w:r>
    </w:p>
    <w:p w:rsidR="002A4D9B" w:rsidP="002A4D9B" w:rsidRDefault="002A4D9B" w14:paraId="1FDA574C" w14:textId="77777777">
      <w:pPr>
        <w:spacing w:after="0" w:line="264" w:lineRule="auto"/>
        <w:rPr>
          <w:i/>
          <w:iCs/>
        </w:rPr>
      </w:pPr>
    </w:p>
    <w:p w:rsidRPr="002A4D9B" w:rsidR="002A4D9B" w:rsidP="002A4D9B" w:rsidRDefault="002A4D9B" w14:paraId="4EC9E462" w14:textId="6C1940DD">
      <w:pPr>
        <w:spacing w:after="0" w:line="264" w:lineRule="auto"/>
        <w:rPr>
          <w:i/>
          <w:iCs/>
        </w:rPr>
      </w:pPr>
      <w:r w:rsidRPr="002A4D9B">
        <w:rPr>
          <w:i/>
          <w:iCs/>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002A4D9B" w:rsidP="002A4D9B" w:rsidRDefault="002A4D9B" w14:paraId="1AB71EFF" w14:textId="77777777">
      <w:pPr>
        <w:spacing w:after="0" w:line="264" w:lineRule="auto"/>
      </w:pPr>
    </w:p>
    <w:p w:rsidRPr="002A4D9B" w:rsidR="002A4D9B" w:rsidP="002A4D9B" w:rsidRDefault="002A4D9B" w14:paraId="0FF36DBC" w14:textId="4835674B">
      <w:pPr>
        <w:spacing w:after="0" w:line="264" w:lineRule="auto"/>
        <w:rPr>
          <w:b/>
          <w:bCs/>
        </w:rPr>
      </w:pPr>
      <w:r w:rsidRPr="002A4D9B">
        <w:rPr>
          <w:b/>
          <w:bCs/>
        </w:rPr>
        <w:t>PROGRAMMING</w:t>
      </w:r>
    </w:p>
    <w:p w:rsidR="002A4D9B" w:rsidP="002A4D9B" w:rsidRDefault="002A4D9B" w14:paraId="7C648C7B" w14:textId="77777777">
      <w:pPr>
        <w:spacing w:after="0" w:line="264" w:lineRule="auto"/>
      </w:pPr>
    </w:p>
    <w:p w:rsidR="002A4D9B" w:rsidP="002A4D9B" w:rsidRDefault="002A4D9B" w14:paraId="08C584FD" w14:textId="77777777">
      <w:pPr>
        <w:pStyle w:val="ListParagraph"/>
        <w:numPr>
          <w:ilvl w:val="0"/>
          <w:numId w:val="1"/>
        </w:numPr>
        <w:spacing w:after="0" w:line="264" w:lineRule="auto"/>
      </w:pPr>
      <w:r>
        <w:t xml:space="preserve">Implement strategies that </w:t>
      </w:r>
      <w:r w:rsidRPr="002A4D9B">
        <w:rPr>
          <w:b/>
          <w:bCs/>
        </w:rPr>
        <w:t>increase the safety, availability and accessibility of nutrition services</w:t>
      </w:r>
      <w:r>
        <w:t xml:space="preserve"> for women, girls and other at-risk groups. For example: </w:t>
      </w:r>
    </w:p>
    <w:p w:rsidR="002A4D9B" w:rsidP="002A4D9B" w:rsidRDefault="002A4D9B" w14:paraId="1C8BA086" w14:textId="77777777">
      <w:pPr>
        <w:pStyle w:val="ListParagraph"/>
        <w:numPr>
          <w:ilvl w:val="1"/>
          <w:numId w:val="1"/>
        </w:numPr>
        <w:spacing w:after="0" w:line="264" w:lineRule="auto"/>
        <w:rPr/>
      </w:pPr>
      <w:r w:rsidR="447D3060">
        <w:rPr/>
        <w:t xml:space="preserve">Locate services in safe </w:t>
      </w:r>
      <w:r w:rsidR="447D3060">
        <w:rPr/>
        <w:t>areas;</w:t>
      </w:r>
      <w:r w:rsidR="447D3060">
        <w:rPr/>
        <w:t xml:space="preserve"> </w:t>
      </w:r>
    </w:p>
    <w:p w:rsidR="53DDE5C1" w:rsidP="2CD05BCE" w:rsidRDefault="53DDE5C1" w14:paraId="678D8622" w14:textId="69032FB6">
      <w:pPr>
        <w:pStyle w:val="ListParagraph"/>
        <w:numPr>
          <w:ilvl w:val="1"/>
          <w:numId w:val="1"/>
        </w:numPr>
        <w:spacing w:after="0" w:line="264" w:lineRule="auto"/>
        <w:rPr/>
      </w:pPr>
      <w:r w:rsidR="53DDE5C1">
        <w:rPr/>
        <w:t>Ensure that women do not need to travel to/from Nutrition facilities during dark (i.e.: needed to arrive early or leave late);</w:t>
      </w:r>
    </w:p>
    <w:p w:rsidR="2187C627" w:rsidP="2CD05BCE" w:rsidRDefault="2187C627" w14:paraId="6E968617" w14:textId="4C2F0B5C">
      <w:pPr>
        <w:pStyle w:val="ListParagraph"/>
        <w:numPr>
          <w:ilvl w:val="1"/>
          <w:numId w:val="1"/>
        </w:numPr>
        <w:spacing w:after="0" w:line="264" w:lineRule="auto"/>
        <w:rPr/>
      </w:pPr>
      <w:r w:rsidR="2187C627">
        <w:rPr/>
        <w:t xml:space="preserve">For services with </w:t>
      </w:r>
      <w:r w:rsidR="2187C627">
        <w:rPr/>
        <w:t>anticipated</w:t>
      </w:r>
      <w:r w:rsidR="2187C627">
        <w:rPr/>
        <w:t xml:space="preserve"> high turnouts/</w:t>
      </w:r>
      <w:r w:rsidR="2187C627">
        <w:rPr/>
        <w:t>high risk</w:t>
      </w:r>
      <w:r w:rsidR="2187C627">
        <w:rPr/>
        <w:t xml:space="preserve"> of overcrowding (</w:t>
      </w:r>
      <w:r w:rsidR="2187C627">
        <w:rPr/>
        <w:t>i.e.</w:t>
      </w:r>
      <w:r w:rsidR="2187C627">
        <w:rPr/>
        <w:t xml:space="preserve"> for </w:t>
      </w:r>
      <w:r w:rsidR="59990BB5">
        <w:rPr/>
        <w:t>Moderate Acute Malnutrition (</w:t>
      </w:r>
      <w:r w:rsidR="2187C627">
        <w:rPr/>
        <w:t>MAM</w:t>
      </w:r>
      <w:r w:rsidR="06C9BA44">
        <w:rPr/>
        <w:t>)</w:t>
      </w:r>
      <w:r w:rsidR="2187C627">
        <w:rPr/>
        <w:t xml:space="preserve"> treatment), consider crowd control measures in collaboration with the community/local leaders and/or use appointment systems or</w:t>
      </w:r>
      <w:r w:rsidR="4B3D8BB3">
        <w:rPr/>
        <w:t xml:space="preserve"> staggered service times;</w:t>
      </w:r>
    </w:p>
    <w:p w:rsidR="002A4D9B" w:rsidP="2CD05BCE" w:rsidRDefault="002A4D9B" w14:paraId="3399FA84" w14:textId="77777777">
      <w:pPr>
        <w:pStyle w:val="ListParagraph"/>
        <w:numPr>
          <w:ilvl w:val="1"/>
          <w:numId w:val="1"/>
        </w:numPr>
        <w:spacing w:after="0" w:line="264" w:lineRule="auto"/>
        <w:rPr>
          <w:color w:val="auto"/>
        </w:rPr>
      </w:pPr>
      <w:r w:rsidR="447D3060">
        <w:rPr/>
        <w:t>Establish suppl</w:t>
      </w:r>
      <w:r w:rsidRPr="2CD05BCE" w:rsidR="447D3060">
        <w:rPr>
          <w:color w:val="auto"/>
        </w:rPr>
        <w:t xml:space="preserve">emental feeding schedules in collaboration with women, </w:t>
      </w:r>
      <w:r w:rsidRPr="2CD05BCE" w:rsidR="447D3060">
        <w:rPr>
          <w:color w:val="auto"/>
        </w:rPr>
        <w:t>girls</w:t>
      </w:r>
      <w:r w:rsidRPr="2CD05BCE" w:rsidR="447D3060">
        <w:rPr>
          <w:color w:val="auto"/>
        </w:rPr>
        <w:t xml:space="preserve"> and other at-risk </w:t>
      </w:r>
      <w:r w:rsidRPr="2CD05BCE" w:rsidR="447D3060">
        <w:rPr>
          <w:color w:val="auto"/>
        </w:rPr>
        <w:t>groups;</w:t>
      </w:r>
      <w:r w:rsidRPr="2CD05BCE" w:rsidR="447D3060">
        <w:rPr>
          <w:color w:val="auto"/>
        </w:rPr>
        <w:t xml:space="preserve"> </w:t>
      </w:r>
    </w:p>
    <w:p w:rsidR="38A7A80F" w:rsidP="2CD05BCE" w:rsidRDefault="38A7A80F" w14:paraId="01C9859B" w14:textId="531AD452">
      <w:pPr>
        <w:pStyle w:val="ListParagraph"/>
        <w:numPr>
          <w:ilvl w:val="1"/>
          <w:numId w:val="1"/>
        </w:numPr>
        <w:spacing w:after="0" w:line="264" w:lineRule="auto"/>
        <w:rPr>
          <w:color w:val="auto"/>
        </w:rPr>
      </w:pPr>
      <w:r w:rsidRPr="2CD05BCE" w:rsidR="38A7A80F">
        <w:rPr>
          <w:color w:val="auto"/>
        </w:rPr>
        <w:t>Monitor and put in place strategies to prevent favoritism, gatekeeping and/or forced sharing of Nutrition rations;</w:t>
      </w:r>
    </w:p>
    <w:p w:rsidR="12A2A838" w:rsidP="2CD05BCE" w:rsidRDefault="12A2A838" w14:paraId="695840CD" w14:textId="2F58A8AA">
      <w:pPr>
        <w:pStyle w:val="ListParagraph"/>
        <w:numPr>
          <w:ilvl w:val="1"/>
          <w:numId w:val="1"/>
        </w:numPr>
        <w:spacing w:after="0" w:line="264" w:lineRule="auto"/>
        <w:rPr>
          <w:rFonts w:ascii="Aptos" w:hAnsi="Aptos" w:eastAsia="Aptos" w:cs="Aptos"/>
          <w:b w:val="0"/>
          <w:bCs w:val="0"/>
          <w:i w:val="0"/>
          <w:iCs w:val="0"/>
          <w:caps w:val="0"/>
          <w:smallCaps w:val="0"/>
          <w:strike w:val="0"/>
          <w:dstrike w:val="0"/>
          <w:noProof w:val="0"/>
          <w:color w:val="auto"/>
          <w:sz w:val="24"/>
          <w:szCs w:val="24"/>
          <w:u w:val="none"/>
          <w:lang w:val="en-US"/>
        </w:rPr>
      </w:pPr>
      <w:r w:rsidRPr="2CD05BCE" w:rsidR="12A2A838">
        <w:rPr>
          <w:rFonts w:ascii="Aptos" w:hAnsi="Aptos" w:eastAsia="Aptos" w:cs="Aptos"/>
          <w:b w:val="0"/>
          <w:bCs w:val="0"/>
          <w:i w:val="0"/>
          <w:iCs w:val="0"/>
          <w:caps w:val="0"/>
          <w:smallCaps w:val="0"/>
          <w:strike w:val="0"/>
          <w:dstrike w:val="0"/>
          <w:noProof w:val="0"/>
          <w:color w:val="auto"/>
          <w:sz w:val="24"/>
          <w:szCs w:val="24"/>
          <w:u w:val="none"/>
          <w:lang w:val="en-US"/>
        </w:rPr>
        <w:t>Ensure a clear patient flow (registration → screening → treatment) that prioritize</w:t>
      </w:r>
      <w:r w:rsidRPr="2CD05BCE" w:rsidR="41BF9D12">
        <w:rPr>
          <w:rFonts w:ascii="Aptos" w:hAnsi="Aptos" w:eastAsia="Aptos" w:cs="Aptos"/>
          <w:b w:val="0"/>
          <w:bCs w:val="0"/>
          <w:i w:val="0"/>
          <w:iCs w:val="0"/>
          <w:caps w:val="0"/>
          <w:smallCaps w:val="0"/>
          <w:strike w:val="0"/>
          <w:dstrike w:val="0"/>
          <w:noProof w:val="0"/>
          <w:color w:val="auto"/>
          <w:sz w:val="24"/>
          <w:szCs w:val="24"/>
          <w:u w:val="none"/>
          <w:lang w:val="en-US"/>
        </w:rPr>
        <w:t>s</w:t>
      </w:r>
      <w:r w:rsidRPr="2CD05BCE" w:rsidR="12A2A838">
        <w:rPr>
          <w:rFonts w:ascii="Aptos" w:hAnsi="Aptos" w:eastAsia="Aptos" w:cs="Aptos"/>
          <w:b w:val="0"/>
          <w:bCs w:val="0"/>
          <w:i w:val="0"/>
          <w:iCs w:val="0"/>
          <w:caps w:val="0"/>
          <w:smallCaps w:val="0"/>
          <w:strike w:val="0"/>
          <w:dstrike w:val="0"/>
          <w:noProof w:val="0"/>
          <w:color w:val="auto"/>
          <w:sz w:val="24"/>
          <w:szCs w:val="24"/>
          <w:u w:val="none"/>
          <w:lang w:val="en-US"/>
        </w:rPr>
        <w:t xml:space="preserve"> vulnerable groups</w:t>
      </w:r>
      <w:r w:rsidRPr="2CD05BCE" w:rsidR="716D0766">
        <w:rPr>
          <w:rFonts w:ascii="Aptos" w:hAnsi="Aptos" w:eastAsia="Aptos" w:cs="Aptos"/>
          <w:b w:val="0"/>
          <w:bCs w:val="0"/>
          <w:i w:val="0"/>
          <w:iCs w:val="0"/>
          <w:caps w:val="0"/>
          <w:smallCaps w:val="0"/>
          <w:strike w:val="0"/>
          <w:dstrike w:val="0"/>
          <w:noProof w:val="0"/>
          <w:color w:val="auto"/>
          <w:sz w:val="24"/>
          <w:szCs w:val="24"/>
          <w:u w:val="none"/>
          <w:lang w:val="en-US"/>
        </w:rPr>
        <w:t>;</w:t>
      </w:r>
    </w:p>
    <w:p w:rsidR="30ADB405" w:rsidP="0028A71C" w:rsidRDefault="30ADB405" w14:noSpellErr="1" w14:paraId="6E1FE5D3" w14:textId="1E9E797C">
      <w:pPr>
        <w:pStyle w:val="ListParagraph"/>
        <w:numPr>
          <w:ilvl w:val="1"/>
          <w:numId w:val="1"/>
        </w:numPr>
        <w:spacing w:after="0" w:line="264" w:lineRule="auto"/>
        <w:rPr/>
      </w:pPr>
      <w:r w:rsidR="30ADB405">
        <w:rPr/>
        <w:t xml:space="preserve">Consider the need to bring feeding supplements to survivors of VAWG and their children in safe </w:t>
      </w:r>
      <w:r w:rsidR="30ADB405">
        <w:rPr/>
        <w:t>shelters;</w:t>
      </w:r>
      <w:r w:rsidR="30ADB405">
        <w:rPr/>
        <w:t xml:space="preserve"> </w:t>
      </w:r>
    </w:p>
    <w:p w:rsidR="187B3F0B" w:rsidP="0028A71C" w:rsidRDefault="187B3F0B" w14:paraId="7C4CCA98" w14:textId="76F0AE07">
      <w:pPr>
        <w:pStyle w:val="ListParagraph"/>
        <w:numPr>
          <w:ilvl w:val="1"/>
          <w:numId w:val="1"/>
        </w:numPr>
        <w:spacing w:after="0" w:line="264" w:lineRule="auto"/>
        <w:rPr>
          <w:rFonts w:ascii="Aptos" w:hAnsi="Aptos" w:eastAsia="Aptos"/>
          <w:noProof w:val="0"/>
          <w:color w:val="000000" w:themeColor="text1" w:themeTint="FF" w:themeShade="FF"/>
          <w:sz w:val="24"/>
          <w:szCs w:val="24"/>
          <w:lang w:val="en-US"/>
        </w:rPr>
      </w:pPr>
      <w:r w:rsidRPr="0028A71C" w:rsidR="187B3F0B">
        <w:rPr>
          <w:rFonts w:ascii="Aptos" w:hAnsi="Aptos" w:eastAsia="Aptos"/>
          <w:noProof w:val="0"/>
          <w:color w:val="000000" w:themeColor="text1" w:themeTint="FF" w:themeShade="FF"/>
          <w:sz w:val="24"/>
          <w:szCs w:val="24"/>
          <w:lang w:val="en-US"/>
        </w:rPr>
        <w:t>Establish safe feeding spaces for mothers to prevent protection risks;</w:t>
      </w:r>
    </w:p>
    <w:p w:rsidR="187B3F0B" w:rsidP="0028A71C" w:rsidRDefault="187B3F0B" w14:paraId="5AA3198D" w14:textId="17B77F84">
      <w:pPr>
        <w:pStyle w:val="ListParagraph"/>
        <w:numPr>
          <w:ilvl w:val="1"/>
          <w:numId w:val="1"/>
        </w:numPr>
        <w:spacing w:after="0" w:line="264" w:lineRule="auto"/>
        <w:rPr>
          <w:rFonts w:ascii="Aptos" w:hAnsi="Aptos" w:eastAsia="Aptos"/>
          <w:noProof w:val="0"/>
          <w:color w:val="000000" w:themeColor="text1" w:themeTint="FF" w:themeShade="FF"/>
          <w:sz w:val="24"/>
          <w:szCs w:val="24"/>
          <w:lang w:val="en-US"/>
        </w:rPr>
      </w:pPr>
      <w:r w:rsidRPr="0028A71C" w:rsidR="187B3F0B">
        <w:rPr>
          <w:rFonts w:ascii="Aptos" w:hAnsi="Aptos" w:eastAsia="Aptos"/>
          <w:noProof w:val="0"/>
          <w:color w:val="000000" w:themeColor="text1" w:themeTint="FF" w:themeShade="FF"/>
          <w:sz w:val="24"/>
          <w:szCs w:val="24"/>
          <w:lang w:val="en-US"/>
        </w:rPr>
        <w:t xml:space="preserve">Where </w:t>
      </w:r>
      <w:r w:rsidRPr="0028A71C" w:rsidR="187B3F0B">
        <w:rPr>
          <w:rFonts w:ascii="Aptos" w:hAnsi="Aptos" w:eastAsia="Aptos"/>
          <w:noProof w:val="0"/>
          <w:color w:val="000000" w:themeColor="text1" w:themeTint="FF" w:themeShade="FF"/>
          <w:sz w:val="24"/>
          <w:szCs w:val="24"/>
          <w:lang w:val="en-US"/>
        </w:rPr>
        <w:t>feasible</w:t>
      </w:r>
      <w:r w:rsidRPr="0028A71C" w:rsidR="187B3F0B">
        <w:rPr>
          <w:rFonts w:ascii="Aptos" w:hAnsi="Aptos" w:eastAsia="Aptos"/>
          <w:noProof w:val="0"/>
          <w:color w:val="000000" w:themeColor="text1" w:themeTint="FF" w:themeShade="FF"/>
          <w:sz w:val="24"/>
          <w:szCs w:val="24"/>
          <w:lang w:val="en-US"/>
        </w:rPr>
        <w:t>, set up mobile clinics to reduce needs to walk long distances;</w:t>
      </w:r>
    </w:p>
    <w:p w:rsidRPr="00E40798" w:rsidR="002A4D9B" w:rsidP="002A4D9B" w:rsidRDefault="002A4D9B" w14:paraId="014CB37F" w14:textId="77777777">
      <w:pPr>
        <w:pStyle w:val="ListParagraph"/>
        <w:numPr>
          <w:ilvl w:val="1"/>
          <w:numId w:val="1"/>
        </w:numPr>
        <w:spacing w:after="0" w:line="264" w:lineRule="auto"/>
        <w:rPr>
          <w:i/>
          <w:iCs/>
        </w:rPr>
      </w:pPr>
      <w:r w:rsidRPr="2A5E88AA" w:rsidR="312F5B99">
        <w:rPr>
          <w:i w:val="1"/>
          <w:iCs w:val="1"/>
        </w:rPr>
        <w:t>Other according to context</w:t>
      </w:r>
    </w:p>
    <w:p w:rsidR="2A5E88AA" w:rsidP="2A5E88AA" w:rsidRDefault="2A5E88AA" w14:paraId="730D73A5" w14:textId="3E5AA98F">
      <w:pPr>
        <w:pStyle w:val="Normal"/>
        <w:spacing w:after="0" w:line="264" w:lineRule="auto"/>
        <w:rPr>
          <w:i w:val="1"/>
          <w:iCs w:val="1"/>
        </w:rPr>
      </w:pPr>
    </w:p>
    <w:p w:rsidR="002A4D9B" w:rsidP="002A4D9B" w:rsidRDefault="002A4D9B" w14:paraId="768EC60E" w14:textId="77777777">
      <w:pPr>
        <w:pStyle w:val="ListParagraph"/>
        <w:numPr>
          <w:ilvl w:val="0"/>
          <w:numId w:val="1"/>
        </w:numPr>
        <w:spacing w:after="0" w:line="264" w:lineRule="auto"/>
      </w:pPr>
      <w:r>
        <w:t xml:space="preserve">Implement proactive strategies to </w:t>
      </w:r>
      <w:r w:rsidRPr="002A4D9B">
        <w:rPr>
          <w:b/>
          <w:bCs/>
        </w:rPr>
        <w:t>meet the VAWG-related needs of those accessing nutrition services</w:t>
      </w:r>
      <w:r>
        <w:t xml:space="preserve">. For example: </w:t>
      </w:r>
    </w:p>
    <w:p w:rsidR="002A4D9B" w:rsidP="002A4D9B" w:rsidRDefault="002A4D9B" w14:paraId="5E510CC2" w14:textId="77777777">
      <w:pPr>
        <w:pStyle w:val="ListParagraph"/>
        <w:numPr>
          <w:ilvl w:val="1"/>
          <w:numId w:val="1"/>
        </w:numPr>
        <w:spacing w:after="0" w:line="264" w:lineRule="auto"/>
      </w:pPr>
      <w:r>
        <w:t xml:space="preserve">Locate nutrition facilities next to women-, adolescent- and child-friendly spaces and/or health </w:t>
      </w:r>
      <w:proofErr w:type="gramStart"/>
      <w:r>
        <w:t>facilities;</w:t>
      </w:r>
      <w:proofErr w:type="gramEnd"/>
      <w:r>
        <w:t xml:space="preserve"> </w:t>
      </w:r>
    </w:p>
    <w:p w:rsidR="002A4D9B" w:rsidP="002A4D9B" w:rsidRDefault="002A4D9B" w14:paraId="666355A7" w14:textId="72EA5952">
      <w:pPr>
        <w:pStyle w:val="ListParagraph"/>
        <w:numPr>
          <w:ilvl w:val="1"/>
          <w:numId w:val="1"/>
        </w:numPr>
        <w:spacing w:after="0" w:line="264" w:lineRule="auto"/>
        <w:rPr/>
      </w:pPr>
      <w:r w:rsidR="2F9DB871">
        <w:rPr/>
        <w:t>Consider including a GBV</w:t>
      </w:r>
      <w:r w:rsidR="75FFC8C6">
        <w:rPr/>
        <w:t xml:space="preserve"> and/or C</w:t>
      </w:r>
      <w:r w:rsidR="4E3764E9">
        <w:rPr/>
        <w:t xml:space="preserve">hild </w:t>
      </w:r>
      <w:r w:rsidR="75FFC8C6">
        <w:rPr/>
        <w:t>P</w:t>
      </w:r>
      <w:r w:rsidR="510EFCA1">
        <w:rPr/>
        <w:t>rotection</w:t>
      </w:r>
      <w:r w:rsidR="2F9DB871">
        <w:rPr/>
        <w:t xml:space="preserve"> caseworker</w:t>
      </w:r>
      <w:r w:rsidR="38DD1225">
        <w:rPr/>
        <w:t>s</w:t>
      </w:r>
      <w:r w:rsidR="2F9DB871">
        <w:rPr/>
        <w:t xml:space="preserve"> as part of the nutrition </w:t>
      </w:r>
      <w:r w:rsidR="2F9DB871">
        <w:rPr/>
        <w:t>staff</w:t>
      </w:r>
      <w:r w:rsidR="17659019">
        <w:rPr/>
        <w:t xml:space="preserve"> and/or otherwise link Nutrition and VAWG</w:t>
      </w:r>
      <w:r w:rsidR="6997A8DE">
        <w:rPr/>
        <w:t>/CP</w:t>
      </w:r>
      <w:r w:rsidR="17659019">
        <w:rPr/>
        <w:t xml:space="preserve"> services</w:t>
      </w:r>
      <w:r w:rsidR="373C3D83">
        <w:rPr/>
        <w:t xml:space="preserve"> (CP specifically in cases where </w:t>
      </w:r>
      <w:r w:rsidR="62C588DA">
        <w:rPr/>
        <w:t>children</w:t>
      </w:r>
      <w:r w:rsidR="373C3D83">
        <w:rPr/>
        <w:t xml:space="preserve"> arrive at </w:t>
      </w:r>
      <w:r w:rsidR="7843201E">
        <w:rPr/>
        <w:t>Nutrition</w:t>
      </w:r>
      <w:r w:rsidR="373C3D83">
        <w:rPr/>
        <w:t xml:space="preserve"> services without adult caregivers)</w:t>
      </w:r>
      <w:r w:rsidR="2F9DB871">
        <w:rPr/>
        <w:t>;</w:t>
      </w:r>
      <w:r w:rsidR="2F9DB871">
        <w:rPr/>
        <w:t xml:space="preserve"> </w:t>
      </w:r>
    </w:p>
    <w:p w:rsidR="16145C5B" w:rsidP="0028A71C" w:rsidRDefault="16145C5B" w14:paraId="6E4E50B1" w14:textId="6B6EEA65">
      <w:pPr>
        <w:pStyle w:val="ListParagraph"/>
        <w:numPr>
          <w:ilvl w:val="1"/>
          <w:numId w:val="1"/>
        </w:numPr>
        <w:spacing w:after="0" w:line="264" w:lineRule="auto"/>
        <w:rPr>
          <w:rFonts w:ascii="Aptos" w:hAnsi="Aptos" w:eastAsia="Aptos"/>
          <w:noProof w:val="0"/>
          <w:color w:val="000000" w:themeColor="text1" w:themeTint="FF" w:themeShade="FF"/>
          <w:sz w:val="24"/>
          <w:szCs w:val="24"/>
          <w:lang w:val="en-US"/>
        </w:rPr>
      </w:pPr>
      <w:r w:rsidRPr="2CD05BCE" w:rsidR="2A800199">
        <w:rPr>
          <w:rFonts w:ascii="Aptos" w:hAnsi="Aptos" w:eastAsia="Aptos"/>
          <w:noProof w:val="0"/>
          <w:color w:val="000000" w:themeColor="text1" w:themeTint="FF" w:themeShade="FF"/>
          <w:sz w:val="24"/>
          <w:szCs w:val="24"/>
          <w:lang w:val="en-US"/>
        </w:rPr>
        <w:t>Integrate SRH services for women</w:t>
      </w:r>
      <w:r w:rsidRPr="2CD05BCE" w:rsidR="520BBB89">
        <w:rPr>
          <w:rFonts w:ascii="Aptos" w:hAnsi="Aptos" w:eastAsia="Aptos"/>
          <w:noProof w:val="0"/>
          <w:color w:val="000000" w:themeColor="text1" w:themeTint="FF" w:themeShade="FF"/>
          <w:sz w:val="24"/>
          <w:szCs w:val="24"/>
          <w:lang w:val="en-US"/>
        </w:rPr>
        <w:t xml:space="preserve"> and adolescent girls</w:t>
      </w:r>
      <w:r w:rsidRPr="2CD05BCE" w:rsidR="2A800199">
        <w:rPr>
          <w:rFonts w:ascii="Aptos" w:hAnsi="Aptos" w:eastAsia="Aptos"/>
          <w:noProof w:val="0"/>
          <w:color w:val="000000" w:themeColor="text1" w:themeTint="FF" w:themeShade="FF"/>
          <w:sz w:val="24"/>
          <w:szCs w:val="24"/>
          <w:lang w:val="en-US"/>
        </w:rPr>
        <w:t xml:space="preserve"> in nutrition sites/ activities;</w:t>
      </w:r>
    </w:p>
    <w:p w:rsidR="16145C5B" w:rsidP="0028A71C" w:rsidRDefault="16145C5B" w14:paraId="5F1CDE74" w14:textId="3FA88722">
      <w:pPr>
        <w:pStyle w:val="ListParagraph"/>
        <w:numPr>
          <w:ilvl w:val="1"/>
          <w:numId w:val="1"/>
        </w:numPr>
        <w:spacing w:after="0" w:line="264" w:lineRule="auto"/>
        <w:rPr>
          <w:rFonts w:ascii="Aptos" w:hAnsi="Aptos" w:eastAsia="Aptos"/>
          <w:noProof w:val="0"/>
          <w:color w:val="000000" w:themeColor="text1" w:themeTint="FF" w:themeShade="FF"/>
          <w:sz w:val="24"/>
          <w:szCs w:val="24"/>
          <w:lang w:val="en-US"/>
        </w:rPr>
      </w:pPr>
      <w:r w:rsidRPr="0028A71C" w:rsidR="16145C5B">
        <w:rPr>
          <w:rFonts w:ascii="Aptos" w:hAnsi="Aptos" w:eastAsia="Aptos"/>
          <w:noProof w:val="0"/>
          <w:color w:val="000000" w:themeColor="text1" w:themeTint="FF" w:themeShade="FF"/>
          <w:sz w:val="24"/>
          <w:szCs w:val="24"/>
          <w:lang w:val="en-US"/>
        </w:rPr>
        <w:t>Arrange dignity kit and MHM supply distribution in nutrition sites;</w:t>
      </w:r>
    </w:p>
    <w:p w:rsidR="002A4D9B" w:rsidP="002A4D9B" w:rsidRDefault="002A4D9B" w14:paraId="0BD9C615" w14:textId="77777777">
      <w:pPr>
        <w:pStyle w:val="ListParagraph"/>
        <w:numPr>
          <w:ilvl w:val="1"/>
          <w:numId w:val="1"/>
        </w:numPr>
        <w:spacing w:after="0" w:line="264" w:lineRule="auto"/>
      </w:pPr>
      <w:r>
        <w:t xml:space="preserve">Organize informal support groups for women at feeding </w:t>
      </w:r>
      <w:proofErr w:type="gramStart"/>
      <w:r>
        <w:t>centers;</w:t>
      </w:r>
      <w:proofErr w:type="gramEnd"/>
      <w:r>
        <w:t xml:space="preserve"> </w:t>
      </w:r>
    </w:p>
    <w:p w:rsidRPr="00E40798" w:rsidR="002A4D9B" w:rsidP="002A4D9B" w:rsidRDefault="002A4D9B" w14:paraId="3C90C203" w14:textId="77777777">
      <w:pPr>
        <w:pStyle w:val="ListParagraph"/>
        <w:numPr>
          <w:ilvl w:val="1"/>
          <w:numId w:val="1"/>
        </w:numPr>
        <w:spacing w:after="0" w:line="264" w:lineRule="auto"/>
        <w:rPr>
          <w:i/>
          <w:iCs/>
        </w:rPr>
      </w:pPr>
      <w:r w:rsidRPr="2A5E88AA" w:rsidR="263998BC">
        <w:rPr>
          <w:i w:val="1"/>
          <w:iCs w:val="1"/>
        </w:rPr>
        <w:t>Other according to context</w:t>
      </w:r>
    </w:p>
    <w:p w:rsidR="2A5E88AA" w:rsidP="2A5E88AA" w:rsidRDefault="2A5E88AA" w14:paraId="15E1AB1E" w14:textId="5467071F">
      <w:pPr>
        <w:pStyle w:val="Normal"/>
        <w:spacing w:after="0" w:line="264" w:lineRule="auto"/>
        <w:rPr>
          <w:i w:val="1"/>
          <w:iCs w:val="1"/>
        </w:rPr>
      </w:pPr>
    </w:p>
    <w:p w:rsidR="002A4D9B" w:rsidP="0028A71C" w:rsidRDefault="002A4D9B" w14:paraId="50992DA2" w14:textId="7CB5D882">
      <w:pPr>
        <w:pStyle w:val="ListParagraph"/>
        <w:numPr>
          <w:ilvl w:val="0"/>
          <w:numId w:val="1"/>
        </w:numPr>
        <w:spacing w:after="0" w:line="264" w:lineRule="auto"/>
        <w:ind/>
        <w:rPr>
          <w:rFonts w:ascii="Aptos" w:hAnsi="Aptos" w:eastAsia="Aptos"/>
          <w:i w:val="0"/>
          <w:iCs w:val="0"/>
          <w:noProof w:val="0"/>
          <w:color w:val="000000" w:themeColor="text1" w:themeTint="FF" w:themeShade="FF"/>
          <w:sz w:val="24"/>
          <w:szCs w:val="24"/>
          <w:lang w:val="en-US"/>
        </w:rPr>
      </w:pPr>
      <w:r w:rsidRPr="0028A71C" w:rsidR="6B52DAB7">
        <w:rPr>
          <w:rFonts w:ascii="Aptos" w:hAnsi="Aptos" w:eastAsia="Aptos"/>
          <w:i w:val="0"/>
          <w:iCs w:val="0"/>
          <w:noProof w:val="0"/>
          <w:color w:val="000000" w:themeColor="text1" w:themeTint="FF" w:themeShade="FF"/>
          <w:sz w:val="24"/>
          <w:szCs w:val="24"/>
          <w:lang w:val="en-US"/>
        </w:rPr>
        <w:t xml:space="preserve">Support implementation of </w:t>
      </w:r>
      <w:r w:rsidRPr="0028A71C" w:rsidR="6B52DAB7">
        <w:rPr>
          <w:rFonts w:ascii="Aptos" w:hAnsi="Aptos" w:eastAsia="Aptos"/>
          <w:b w:val="1"/>
          <w:bCs w:val="1"/>
          <w:i w:val="0"/>
          <w:iCs w:val="0"/>
          <w:noProof w:val="0"/>
          <w:color w:val="000000" w:themeColor="text1" w:themeTint="FF" w:themeShade="FF"/>
          <w:sz w:val="24"/>
          <w:szCs w:val="24"/>
          <w:lang w:val="en-US"/>
        </w:rPr>
        <w:t>community-based actions to address underlying causes and drivers of VAWG</w:t>
      </w:r>
      <w:r w:rsidRPr="0028A71C" w:rsidR="6BC79BFA">
        <w:rPr>
          <w:rFonts w:ascii="Aptos" w:hAnsi="Aptos" w:eastAsia="Aptos"/>
          <w:b w:val="1"/>
          <w:bCs w:val="1"/>
          <w:i w:val="0"/>
          <w:iCs w:val="0"/>
          <w:noProof w:val="0"/>
          <w:color w:val="000000" w:themeColor="text1" w:themeTint="FF" w:themeShade="FF"/>
          <w:sz w:val="24"/>
          <w:szCs w:val="24"/>
          <w:lang w:val="en-US"/>
        </w:rPr>
        <w:t xml:space="preserve"> associated with Nutrition,</w:t>
      </w:r>
      <w:r w:rsidRPr="0028A71C" w:rsidR="6B52DAB7">
        <w:rPr>
          <w:rFonts w:ascii="Aptos" w:hAnsi="Aptos" w:eastAsia="Aptos"/>
          <w:i w:val="0"/>
          <w:iCs w:val="0"/>
          <w:noProof w:val="0"/>
          <w:color w:val="000000" w:themeColor="text1" w:themeTint="FF" w:themeShade="FF"/>
          <w:sz w:val="24"/>
          <w:szCs w:val="24"/>
          <w:lang w:val="en-US"/>
        </w:rPr>
        <w:t xml:space="preserve"> including economic, </w:t>
      </w:r>
      <w:r w:rsidRPr="0028A71C" w:rsidR="6B52DAB7">
        <w:rPr>
          <w:rFonts w:ascii="Aptos" w:hAnsi="Aptos" w:eastAsia="Aptos"/>
          <w:i w:val="0"/>
          <w:iCs w:val="0"/>
          <w:noProof w:val="0"/>
          <w:color w:val="000000" w:themeColor="text1" w:themeTint="FF" w:themeShade="FF"/>
          <w:sz w:val="24"/>
          <w:szCs w:val="24"/>
          <w:lang w:val="en-US"/>
        </w:rPr>
        <w:t>social</w:t>
      </w:r>
      <w:r w:rsidRPr="0028A71C" w:rsidR="6B52DAB7">
        <w:rPr>
          <w:rFonts w:ascii="Aptos" w:hAnsi="Aptos" w:eastAsia="Aptos"/>
          <w:i w:val="0"/>
          <w:iCs w:val="0"/>
          <w:noProof w:val="0"/>
          <w:color w:val="000000" w:themeColor="text1" w:themeTint="FF" w:themeShade="FF"/>
          <w:sz w:val="24"/>
          <w:szCs w:val="24"/>
          <w:lang w:val="en-US"/>
        </w:rPr>
        <w:t xml:space="preserve"> and political empowerment of women and girls, as well as to tackle social norms that condone VAWG, all in collaboration with VAWG specialists. For example: </w:t>
      </w:r>
    </w:p>
    <w:p w:rsidR="002A4D9B" w:rsidP="0028A71C" w:rsidRDefault="002A4D9B" w14:paraId="238487E9" w14:textId="5E6535C7">
      <w:pPr>
        <w:pStyle w:val="ListParagraph"/>
        <w:numPr>
          <w:ilvl w:val="1"/>
          <w:numId w:val="1"/>
        </w:numPr>
        <w:spacing w:after="0" w:line="264" w:lineRule="auto"/>
        <w:ind/>
        <w:rPr>
          <w:rFonts w:ascii="Aptos" w:hAnsi="Aptos" w:eastAsia="Aptos"/>
          <w:i w:val="0"/>
          <w:iCs w:val="0"/>
          <w:noProof w:val="0"/>
          <w:color w:val="000000" w:themeColor="text1" w:themeTint="FF" w:themeShade="FF"/>
          <w:sz w:val="24"/>
          <w:szCs w:val="24"/>
          <w:lang w:val="en-US"/>
        </w:rPr>
      </w:pPr>
      <w:r w:rsidRPr="0028A71C" w:rsidR="6B52DAB7">
        <w:rPr>
          <w:rFonts w:ascii="Aptos" w:hAnsi="Aptos" w:eastAsia="Aptos"/>
          <w:i w:val="0"/>
          <w:iCs w:val="0"/>
          <w:noProof w:val="0"/>
          <w:color w:val="000000" w:themeColor="text1" w:themeTint="FF" w:themeShade="FF"/>
          <w:sz w:val="24"/>
          <w:szCs w:val="24"/>
          <w:lang w:val="en-US"/>
        </w:rPr>
        <w:t xml:space="preserve">Develop and </w:t>
      </w:r>
      <w:r w:rsidRPr="0028A71C" w:rsidR="6B52DAB7">
        <w:rPr>
          <w:rFonts w:ascii="Aptos" w:hAnsi="Aptos" w:eastAsia="Aptos"/>
          <w:i w:val="0"/>
          <w:iCs w:val="0"/>
          <w:noProof w:val="0"/>
          <w:color w:val="000000" w:themeColor="text1" w:themeTint="FF" w:themeShade="FF"/>
          <w:sz w:val="24"/>
          <w:szCs w:val="24"/>
          <w:lang w:val="en-US"/>
        </w:rPr>
        <w:t>disseminate</w:t>
      </w:r>
      <w:r w:rsidRPr="0028A71C" w:rsidR="6B52DAB7">
        <w:rPr>
          <w:rFonts w:ascii="Aptos" w:hAnsi="Aptos" w:eastAsia="Aptos"/>
          <w:i w:val="0"/>
          <w:iCs w:val="0"/>
          <w:noProof w:val="0"/>
          <w:color w:val="000000" w:themeColor="text1" w:themeTint="FF" w:themeShade="FF"/>
          <w:sz w:val="24"/>
          <w:szCs w:val="24"/>
          <w:lang w:val="en-US"/>
        </w:rPr>
        <w:t xml:space="preserve"> behavior change communication with communities including awareness on intrahousehold food distribution that recognizes the needs of women, girls, and other vulnerable groups.</w:t>
      </w:r>
    </w:p>
    <w:p w:rsidR="002A4D9B" w:rsidP="0028A71C" w:rsidRDefault="002A4D9B" w14:paraId="730B10D2" w14:textId="435D938F">
      <w:pPr>
        <w:pStyle w:val="ListParagraph"/>
        <w:numPr>
          <w:ilvl w:val="1"/>
          <w:numId w:val="1"/>
        </w:numPr>
        <w:spacing w:after="0" w:line="264" w:lineRule="auto"/>
        <w:ind/>
        <w:rPr>
          <w:rFonts w:ascii="Aptos" w:hAnsi="Aptos" w:eastAsia="Aptos"/>
          <w:noProof w:val="0"/>
          <w:color w:val="000000" w:themeColor="text1" w:themeTint="FF" w:themeShade="FF"/>
          <w:sz w:val="24"/>
          <w:szCs w:val="24"/>
          <w:lang w:val="en-US"/>
        </w:rPr>
      </w:pPr>
      <w:r w:rsidRPr="0028A71C" w:rsidR="6B52DAB7">
        <w:rPr>
          <w:rFonts w:ascii="Aptos" w:hAnsi="Aptos" w:eastAsia="Aptos"/>
          <w:i w:val="0"/>
          <w:iCs w:val="0"/>
          <w:noProof w:val="0"/>
          <w:color w:val="000000" w:themeColor="text1" w:themeTint="FF" w:themeShade="FF"/>
          <w:sz w:val="24"/>
          <w:szCs w:val="24"/>
          <w:lang w:val="en-US"/>
        </w:rPr>
        <w:t>Integrate WASH and PSEA/VAWG messaging into IYCF promotion targeting the general community, including fathers and men, to highlight the importance of proper nutrition for women/girls and their infants.</w:t>
      </w:r>
      <w:r w:rsidRPr="0028A71C" w:rsidR="6B52DAB7">
        <w:rPr>
          <w:rFonts w:ascii="Aptos" w:hAnsi="Aptos" w:eastAsia="Aptos"/>
          <w:noProof w:val="0"/>
          <w:color w:val="000000" w:themeColor="text1" w:themeTint="FF" w:themeShade="FF"/>
          <w:sz w:val="24"/>
          <w:szCs w:val="24"/>
          <w:lang w:val="en-US"/>
        </w:rPr>
        <w:t xml:space="preserve"> </w:t>
      </w:r>
    </w:p>
    <w:p w:rsidR="002A4D9B" w:rsidP="0028A71C" w:rsidRDefault="002A4D9B" w14:paraId="74EF7E72" w14:textId="0FA0F986">
      <w:pPr>
        <w:pStyle w:val="Normal"/>
        <w:spacing w:after="0" w:line="264" w:lineRule="auto"/>
        <w:ind w:left="0"/>
        <w:rPr>
          <w:rFonts w:ascii="Aptos" w:hAnsi="Aptos" w:eastAsia="Aptos"/>
          <w:noProof w:val="0"/>
          <w:color w:val="000000" w:themeColor="text1" w:themeTint="FF" w:themeShade="FF"/>
          <w:sz w:val="24"/>
          <w:szCs w:val="24"/>
          <w:lang w:val="en-US"/>
        </w:rPr>
      </w:pPr>
    </w:p>
    <w:p w:rsidRPr="002A4D9B" w:rsidR="002A4D9B" w:rsidP="002A4D9B" w:rsidRDefault="002A4D9B" w14:paraId="35981A16" w14:textId="2C30BFD0">
      <w:pPr>
        <w:spacing w:after="0" w:line="264" w:lineRule="auto"/>
        <w:rPr>
          <w:b/>
          <w:bCs/>
        </w:rPr>
      </w:pPr>
      <w:r w:rsidRPr="002A4D9B">
        <w:rPr>
          <w:b/>
          <w:bCs/>
        </w:rPr>
        <w:t>POLICIES</w:t>
      </w:r>
    </w:p>
    <w:p w:rsidR="002A4D9B" w:rsidP="002A4D9B" w:rsidRDefault="002A4D9B" w14:paraId="1943ADC8" w14:textId="77777777">
      <w:pPr>
        <w:spacing w:after="0" w:line="264" w:lineRule="auto"/>
        <w:ind w:left="360"/>
      </w:pPr>
    </w:p>
    <w:p w:rsidR="002A4D9B" w:rsidP="002A4D9B" w:rsidRDefault="002A4D9B" w14:paraId="35CC575D" w14:noSpellErr="1" w14:textId="0F75F0C3">
      <w:pPr>
        <w:pStyle w:val="ListParagraph"/>
        <w:numPr>
          <w:ilvl w:val="0"/>
          <w:numId w:val="2"/>
        </w:numPr>
        <w:spacing w:after="0" w:line="264" w:lineRule="auto"/>
        <w:rPr/>
      </w:pPr>
      <w:r w:rsidR="30ADB405">
        <w:rPr/>
        <w:t xml:space="preserve">Advocate for the </w:t>
      </w:r>
      <w:r w:rsidRPr="0028A71C" w:rsidR="30ADB405">
        <w:rPr>
          <w:b w:val="1"/>
          <w:bCs w:val="1"/>
        </w:rPr>
        <w:t>integration of VAWG risk mitigation strategies into national and local laws and policies</w:t>
      </w:r>
      <w:r w:rsidR="30ADB405">
        <w:rPr/>
        <w:t xml:space="preserve"> related to </w:t>
      </w:r>
      <w:r w:rsidR="208FE0A4">
        <w:rPr/>
        <w:t>N</w:t>
      </w:r>
      <w:r w:rsidR="30ADB405">
        <w:rPr/>
        <w:t>utrition, and</w:t>
      </w:r>
      <w:r w:rsidR="30ADB405">
        <w:rPr/>
        <w:t xml:space="preserve"> </w:t>
      </w:r>
      <w:r w:rsidR="30ADB405">
        <w:rPr/>
        <w:t>allocate</w:t>
      </w:r>
      <w:r w:rsidR="30ADB405">
        <w:rPr/>
        <w:t xml:space="preserve"> funding for sustainability. For example:</w:t>
      </w:r>
    </w:p>
    <w:p w:rsidR="002A4D9B" w:rsidP="002A4D9B" w:rsidRDefault="002A4D9B" w14:paraId="7B405F60" w14:textId="77777777">
      <w:pPr>
        <w:pStyle w:val="ListParagraph"/>
        <w:numPr>
          <w:ilvl w:val="1"/>
          <w:numId w:val="2"/>
        </w:numPr>
        <w:spacing w:after="0" w:line="264" w:lineRule="auto"/>
      </w:pPr>
      <w:r>
        <w:lastRenderedPageBreak/>
        <w:t xml:space="preserve">Ensure policies address discriminatory feeding </w:t>
      </w:r>
      <w:proofErr w:type="gramStart"/>
      <w:r>
        <w:t>practices;</w:t>
      </w:r>
      <w:proofErr w:type="gramEnd"/>
      <w:r>
        <w:t xml:space="preserve"> </w:t>
      </w:r>
    </w:p>
    <w:p w:rsidR="002A4D9B" w:rsidP="002A4D9B" w:rsidRDefault="002A4D9B" w14:paraId="6F97E8D9" w14:textId="77777777">
      <w:pPr>
        <w:pStyle w:val="ListParagraph"/>
        <w:numPr>
          <w:ilvl w:val="1"/>
          <w:numId w:val="2"/>
        </w:numPr>
        <w:spacing w:after="0" w:line="264" w:lineRule="auto"/>
      </w:pPr>
      <w:r>
        <w:t xml:space="preserve">Protection and management of natural resources that relate to food and cooking fuel </w:t>
      </w:r>
      <w:proofErr w:type="gramStart"/>
      <w:r>
        <w:t>needs;</w:t>
      </w:r>
      <w:proofErr w:type="gramEnd"/>
      <w:r>
        <w:t xml:space="preserve"> </w:t>
      </w:r>
    </w:p>
    <w:p w:rsidR="002A4D9B" w:rsidP="002A4D9B" w:rsidRDefault="002A4D9B" w14:paraId="31CCBA27" w14:textId="77777777">
      <w:pPr>
        <w:pStyle w:val="ListParagraph"/>
        <w:numPr>
          <w:ilvl w:val="1"/>
          <w:numId w:val="2"/>
        </w:numPr>
        <w:spacing w:after="0" w:line="264" w:lineRule="auto"/>
      </w:pPr>
      <w:r>
        <w:t xml:space="preserve">Land reform as it relates to securing land for agriculture and food </w:t>
      </w:r>
      <w:proofErr w:type="gramStart"/>
      <w:r>
        <w:t>security;</w:t>
      </w:r>
      <w:proofErr w:type="gramEnd"/>
      <w:r>
        <w:t xml:space="preserve"> </w:t>
      </w:r>
    </w:p>
    <w:p w:rsidRPr="007F7E55" w:rsidR="002A4D9B" w:rsidP="002A4D9B" w:rsidRDefault="002A4D9B" w14:paraId="160E449C" w14:textId="77777777">
      <w:pPr>
        <w:pStyle w:val="ListParagraph"/>
        <w:numPr>
          <w:ilvl w:val="1"/>
          <w:numId w:val="2"/>
        </w:numPr>
        <w:spacing w:after="0" w:line="264" w:lineRule="auto"/>
        <w:rPr>
          <w:i/>
          <w:iCs/>
        </w:rPr>
      </w:pPr>
      <w:r w:rsidRPr="007F7E55">
        <w:rPr>
          <w:i/>
          <w:iCs/>
        </w:rPr>
        <w:t>Other according to context</w:t>
      </w:r>
    </w:p>
    <w:p w:rsidR="006E6B8C" w:rsidRDefault="006E6B8C" w14:paraId="1A017CE0" w14:textId="77777777"/>
    <w:sectPr w:rsidR="006E6B8C" w:rsidSect="001322D3">
      <w:pgSz w:w="12240" w:h="15840" w:orient="portrait"/>
      <w:pgMar w:top="1440" w:right="1440" w:bottom="1440" w:left="1440" w:header="720" w:footer="720" w:gutter="0"/>
      <w:cols w:space="720"/>
      <w:docGrid w:linePitch="360"/>
      <w:titlePg w:val="1"/>
      <w:headerReference w:type="default" r:id="Ra759f497ba6e48be"/>
      <w:headerReference w:type="first" r:id="R23b41ede8cf647b0"/>
      <w:footerReference w:type="default" r:id="R62997fba51204853"/>
      <w:footerReference w:type="first" r:id="R3d764bf46435461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A5E88AA" w:rsidTr="2A5E88AA" w14:paraId="7D295340">
      <w:trPr>
        <w:trHeight w:val="300"/>
      </w:trPr>
      <w:tc>
        <w:tcPr>
          <w:tcW w:w="3120" w:type="dxa"/>
          <w:tcMar/>
        </w:tcPr>
        <w:p w:rsidR="2A5E88AA" w:rsidP="2A5E88AA" w:rsidRDefault="2A5E88AA" w14:paraId="37A6D4AD" w14:textId="73B3ECF0">
          <w:pPr>
            <w:pStyle w:val="Header"/>
            <w:bidi w:val="0"/>
            <w:ind w:left="-115"/>
            <w:jc w:val="left"/>
          </w:pPr>
        </w:p>
      </w:tc>
      <w:tc>
        <w:tcPr>
          <w:tcW w:w="3120" w:type="dxa"/>
          <w:tcMar/>
        </w:tcPr>
        <w:p w:rsidR="2A5E88AA" w:rsidP="2A5E88AA" w:rsidRDefault="2A5E88AA" w14:paraId="4BA92190" w14:textId="4B4C9DF9">
          <w:pPr>
            <w:pStyle w:val="Header"/>
            <w:bidi w:val="0"/>
            <w:jc w:val="center"/>
          </w:pPr>
        </w:p>
      </w:tc>
      <w:tc>
        <w:tcPr>
          <w:tcW w:w="3120" w:type="dxa"/>
          <w:tcMar/>
        </w:tcPr>
        <w:p w:rsidR="2A5E88AA" w:rsidP="2A5E88AA" w:rsidRDefault="2A5E88AA" w14:paraId="7A7F8091" w14:textId="64D8D86D">
          <w:pPr>
            <w:pStyle w:val="Header"/>
            <w:bidi w:val="0"/>
            <w:ind w:right="-115"/>
            <w:jc w:val="right"/>
          </w:pPr>
        </w:p>
      </w:tc>
    </w:tr>
  </w:tbl>
  <w:p w:rsidR="2A5E88AA" w:rsidP="2A5E88AA" w:rsidRDefault="2A5E88AA" w14:paraId="2FFF3C31" w14:textId="72F0FEA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A5E88AA" w:rsidTr="2A5E88AA" w14:paraId="2610ADB0">
      <w:trPr>
        <w:trHeight w:val="300"/>
      </w:trPr>
      <w:tc>
        <w:tcPr>
          <w:tcW w:w="3120" w:type="dxa"/>
          <w:tcMar/>
        </w:tcPr>
        <w:p w:rsidR="2A5E88AA" w:rsidP="2A5E88AA" w:rsidRDefault="2A5E88AA" w14:paraId="256397BE" w14:textId="230B693A">
          <w:pPr>
            <w:pStyle w:val="Header"/>
            <w:bidi w:val="0"/>
            <w:ind w:left="-115"/>
            <w:jc w:val="left"/>
          </w:pPr>
        </w:p>
      </w:tc>
      <w:tc>
        <w:tcPr>
          <w:tcW w:w="3120" w:type="dxa"/>
          <w:tcMar/>
        </w:tcPr>
        <w:p w:rsidR="2A5E88AA" w:rsidP="2A5E88AA" w:rsidRDefault="2A5E88AA" w14:paraId="1B64DF2F" w14:textId="19D09BE0">
          <w:pPr>
            <w:pStyle w:val="Header"/>
            <w:bidi w:val="0"/>
            <w:jc w:val="center"/>
          </w:pPr>
        </w:p>
      </w:tc>
      <w:tc>
        <w:tcPr>
          <w:tcW w:w="3120" w:type="dxa"/>
          <w:tcMar/>
        </w:tcPr>
        <w:p w:rsidR="2A5E88AA" w:rsidP="2A5E88AA" w:rsidRDefault="2A5E88AA" w14:paraId="3C585D2A" w14:textId="5FC2CC20">
          <w:pPr>
            <w:pStyle w:val="Header"/>
            <w:bidi w:val="0"/>
            <w:ind w:right="-115"/>
            <w:jc w:val="right"/>
          </w:pPr>
        </w:p>
      </w:tc>
    </w:tr>
  </w:tbl>
  <w:p w:rsidR="2A5E88AA" w:rsidP="2A5E88AA" w:rsidRDefault="2A5E88AA" w14:paraId="3FDE6365" w14:textId="32E3B9D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A5E88AA" w:rsidTr="2A5E88AA" w14:paraId="06231478">
      <w:trPr>
        <w:trHeight w:val="300"/>
      </w:trPr>
      <w:tc>
        <w:tcPr>
          <w:tcW w:w="3120" w:type="dxa"/>
          <w:tcMar/>
        </w:tcPr>
        <w:p w:rsidR="2A5E88AA" w:rsidP="2A5E88AA" w:rsidRDefault="2A5E88AA" w14:paraId="6D91CFA0" w14:textId="3BD5D7C4">
          <w:pPr>
            <w:pStyle w:val="Header"/>
            <w:bidi w:val="0"/>
            <w:ind w:left="-115"/>
            <w:jc w:val="left"/>
          </w:pPr>
        </w:p>
      </w:tc>
      <w:tc>
        <w:tcPr>
          <w:tcW w:w="3120" w:type="dxa"/>
          <w:tcMar/>
        </w:tcPr>
        <w:p w:rsidR="2A5E88AA" w:rsidP="2A5E88AA" w:rsidRDefault="2A5E88AA" w14:paraId="02BB7500" w14:textId="1CFB7917">
          <w:pPr>
            <w:pStyle w:val="Header"/>
            <w:bidi w:val="0"/>
            <w:jc w:val="center"/>
          </w:pPr>
        </w:p>
      </w:tc>
      <w:tc>
        <w:tcPr>
          <w:tcW w:w="3120" w:type="dxa"/>
          <w:tcMar/>
        </w:tcPr>
        <w:p w:rsidR="2A5E88AA" w:rsidP="2A5E88AA" w:rsidRDefault="2A5E88AA" w14:paraId="391558BE" w14:textId="44128FFA">
          <w:pPr>
            <w:pStyle w:val="Header"/>
            <w:bidi w:val="0"/>
            <w:ind w:right="-115"/>
            <w:jc w:val="right"/>
          </w:pPr>
        </w:p>
      </w:tc>
    </w:tr>
  </w:tbl>
  <w:p w:rsidR="2A5E88AA" w:rsidP="2A5E88AA" w:rsidRDefault="2A5E88AA" w14:paraId="15BD8DDB" w14:textId="1A2683A8">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2A5E88AA" w:rsidTr="2A5E88AA" w14:paraId="4B357B49">
      <w:trPr>
        <w:trHeight w:val="300"/>
      </w:trPr>
      <w:tc>
        <w:tcPr>
          <w:tcW w:w="9360" w:type="dxa"/>
          <w:tcMar/>
        </w:tcPr>
        <w:p w:rsidR="2A5E88AA" w:rsidP="2A5E88AA" w:rsidRDefault="2A5E88AA" w14:paraId="64240A76" w14:textId="6790C247">
          <w:pPr>
            <w:pStyle w:val="Header"/>
            <w:bidi w:val="0"/>
            <w:ind w:left="-115"/>
            <w:jc w:val="left"/>
          </w:pPr>
          <w:r w:rsidR="2A5E88AA">
            <w:drawing>
              <wp:inline wp14:editId="4E59480A" wp14:anchorId="767ADA03">
                <wp:extent cx="5810250" cy="762000"/>
                <wp:effectExtent l="0" t="0" r="0" b="0"/>
                <wp:docPr id="9146509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14650938" name="Picture 91465093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9768107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2A5E88AA" w:rsidP="2A5E88AA" w:rsidRDefault="2A5E88AA" w14:paraId="0954321C" w14:textId="547FFD4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5978"/>
    <w:multiLevelType w:val="hybridMultilevel"/>
    <w:tmpl w:val="14B849DC"/>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DF36E31"/>
    <w:multiLevelType w:val="hybridMultilevel"/>
    <w:tmpl w:val="0F4C3712"/>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69236641">
    <w:abstractNumId w:val="0"/>
  </w:num>
  <w:num w:numId="2" w16cid:durableId="193443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9B"/>
    <w:rsid w:val="000C3289"/>
    <w:rsid w:val="001322D3"/>
    <w:rsid w:val="0014453F"/>
    <w:rsid w:val="0028A71C"/>
    <w:rsid w:val="002A4D9B"/>
    <w:rsid w:val="006E6B8C"/>
    <w:rsid w:val="00757634"/>
    <w:rsid w:val="00A863B7"/>
    <w:rsid w:val="00D0059F"/>
    <w:rsid w:val="00E04224"/>
    <w:rsid w:val="026772C9"/>
    <w:rsid w:val="06C9BA44"/>
    <w:rsid w:val="0B031FA2"/>
    <w:rsid w:val="0D75A76E"/>
    <w:rsid w:val="0F08BDE4"/>
    <w:rsid w:val="10C6DE52"/>
    <w:rsid w:val="12A2A838"/>
    <w:rsid w:val="16145C5B"/>
    <w:rsid w:val="16983530"/>
    <w:rsid w:val="17659019"/>
    <w:rsid w:val="187B3F0B"/>
    <w:rsid w:val="192CBAE4"/>
    <w:rsid w:val="19521DF2"/>
    <w:rsid w:val="208FE0A4"/>
    <w:rsid w:val="2187C627"/>
    <w:rsid w:val="263998BC"/>
    <w:rsid w:val="29D68AB9"/>
    <w:rsid w:val="2A5E88AA"/>
    <w:rsid w:val="2A800199"/>
    <w:rsid w:val="2CD05BCE"/>
    <w:rsid w:val="2F9DB871"/>
    <w:rsid w:val="308BA712"/>
    <w:rsid w:val="30ADB405"/>
    <w:rsid w:val="312F5B99"/>
    <w:rsid w:val="373C3D83"/>
    <w:rsid w:val="38A7A80F"/>
    <w:rsid w:val="38DD1225"/>
    <w:rsid w:val="396E5951"/>
    <w:rsid w:val="3DD0ECC4"/>
    <w:rsid w:val="419F65FD"/>
    <w:rsid w:val="41BF9D12"/>
    <w:rsid w:val="445087AF"/>
    <w:rsid w:val="447D3060"/>
    <w:rsid w:val="44DE924D"/>
    <w:rsid w:val="459A03A9"/>
    <w:rsid w:val="48923081"/>
    <w:rsid w:val="4B3D8BB3"/>
    <w:rsid w:val="4E3764E9"/>
    <w:rsid w:val="510EFCA1"/>
    <w:rsid w:val="520BBB89"/>
    <w:rsid w:val="53DDE5C1"/>
    <w:rsid w:val="59990BB5"/>
    <w:rsid w:val="6124E1B1"/>
    <w:rsid w:val="62C588DA"/>
    <w:rsid w:val="6997A8DE"/>
    <w:rsid w:val="6B52DAB7"/>
    <w:rsid w:val="6BC69075"/>
    <w:rsid w:val="6BC79BFA"/>
    <w:rsid w:val="716D0766"/>
    <w:rsid w:val="75FFC8C6"/>
    <w:rsid w:val="7843201E"/>
    <w:rsid w:val="7E6C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DCFBA"/>
  <w15:chartTrackingRefBased/>
  <w15:docId w15:val="{0E357BF5-F567-B44D-A833-32C218A6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4D9B"/>
  </w:style>
  <w:style w:type="paragraph" w:styleId="Heading1">
    <w:name w:val="heading 1"/>
    <w:basedOn w:val="Normal"/>
    <w:next w:val="Normal"/>
    <w:link w:val="Heading1Char"/>
    <w:uiPriority w:val="9"/>
    <w:qFormat/>
    <w:rsid w:val="002A4D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D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D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4D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4D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4D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4D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4D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4D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4D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4D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4D9B"/>
    <w:rPr>
      <w:rFonts w:eastAsiaTheme="majorEastAsia" w:cstheme="majorBidi"/>
      <w:color w:val="272727" w:themeColor="text1" w:themeTint="D8"/>
    </w:rPr>
  </w:style>
  <w:style w:type="paragraph" w:styleId="Title">
    <w:name w:val="Title"/>
    <w:basedOn w:val="Normal"/>
    <w:next w:val="Normal"/>
    <w:link w:val="TitleChar"/>
    <w:uiPriority w:val="10"/>
    <w:qFormat/>
    <w:rsid w:val="002A4D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4D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4D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4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D9B"/>
    <w:pPr>
      <w:spacing w:before="160"/>
      <w:jc w:val="center"/>
    </w:pPr>
    <w:rPr>
      <w:i/>
      <w:iCs/>
      <w:color w:val="404040" w:themeColor="text1" w:themeTint="BF"/>
    </w:rPr>
  </w:style>
  <w:style w:type="character" w:styleId="QuoteChar" w:customStyle="1">
    <w:name w:val="Quote Char"/>
    <w:basedOn w:val="DefaultParagraphFont"/>
    <w:link w:val="Quote"/>
    <w:uiPriority w:val="29"/>
    <w:rsid w:val="002A4D9B"/>
    <w:rPr>
      <w:i/>
      <w:iCs/>
      <w:color w:val="404040" w:themeColor="text1" w:themeTint="BF"/>
    </w:rPr>
  </w:style>
  <w:style w:type="paragraph" w:styleId="ListParagraph">
    <w:name w:val="List Paragraph"/>
    <w:basedOn w:val="Normal"/>
    <w:uiPriority w:val="34"/>
    <w:qFormat/>
    <w:rsid w:val="002A4D9B"/>
    <w:pPr>
      <w:ind w:left="720"/>
      <w:contextualSpacing/>
    </w:pPr>
  </w:style>
  <w:style w:type="character" w:styleId="IntenseEmphasis">
    <w:name w:val="Intense Emphasis"/>
    <w:basedOn w:val="DefaultParagraphFont"/>
    <w:uiPriority w:val="21"/>
    <w:qFormat/>
    <w:rsid w:val="002A4D9B"/>
    <w:rPr>
      <w:i/>
      <w:iCs/>
      <w:color w:val="0F4761" w:themeColor="accent1" w:themeShade="BF"/>
    </w:rPr>
  </w:style>
  <w:style w:type="paragraph" w:styleId="IntenseQuote">
    <w:name w:val="Intense Quote"/>
    <w:basedOn w:val="Normal"/>
    <w:next w:val="Normal"/>
    <w:link w:val="IntenseQuoteChar"/>
    <w:uiPriority w:val="30"/>
    <w:qFormat/>
    <w:rsid w:val="002A4D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4D9B"/>
    <w:rPr>
      <w:i/>
      <w:iCs/>
      <w:color w:val="0F4761" w:themeColor="accent1" w:themeShade="BF"/>
    </w:rPr>
  </w:style>
  <w:style w:type="character" w:styleId="IntenseReference">
    <w:name w:val="Intense Reference"/>
    <w:basedOn w:val="DefaultParagraphFont"/>
    <w:uiPriority w:val="32"/>
    <w:qFormat/>
    <w:rsid w:val="002A4D9B"/>
    <w:rPr>
      <w:b/>
      <w:bCs/>
      <w:smallCaps/>
      <w:color w:val="0F4761" w:themeColor="accent1" w:themeShade="BF"/>
      <w:spacing w:val="5"/>
    </w:rPr>
  </w:style>
  <w:style w:type="paragraph" w:styleId="Header">
    <w:uiPriority w:val="99"/>
    <w:name w:val="header"/>
    <w:basedOn w:val="Normal"/>
    <w:unhideWhenUsed/>
    <w:rsid w:val="2A5E88AA"/>
    <w:pPr>
      <w:tabs>
        <w:tab w:val="center" w:leader="none" w:pos="4680"/>
        <w:tab w:val="right" w:leader="none" w:pos="9360"/>
      </w:tabs>
      <w:spacing w:after="0" w:line="240" w:lineRule="auto"/>
    </w:pPr>
  </w:style>
  <w:style w:type="paragraph" w:styleId="Footer">
    <w:uiPriority w:val="99"/>
    <w:name w:val="footer"/>
    <w:basedOn w:val="Normal"/>
    <w:unhideWhenUsed/>
    <w:rsid w:val="2A5E88A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a759f497ba6e48be" /><Relationship Type="http://schemas.openxmlformats.org/officeDocument/2006/relationships/header" Target="header2.xml" Id="R23b41ede8cf647b0" /><Relationship Type="http://schemas.openxmlformats.org/officeDocument/2006/relationships/footer" Target="footer.xml" Id="R62997fba51204853" /><Relationship Type="http://schemas.openxmlformats.org/officeDocument/2006/relationships/footer" Target="footer2.xml" Id="R3d764bf46435461b" /></Relationships>
</file>

<file path=word/_rels/header2.xml.rels>&#65279;<?xml version="1.0" encoding="utf-8"?><Relationships xmlns="http://schemas.openxmlformats.org/package/2006/relationships"><Relationship Type="http://schemas.openxmlformats.org/officeDocument/2006/relationships/image" Target="/media/image.jpg" Id="rId3976810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5</revision>
  <dcterms:created xsi:type="dcterms:W3CDTF">2025-10-15T19:41:00.0000000Z</dcterms:created>
  <dcterms:modified xsi:type="dcterms:W3CDTF">2026-02-27T23:15:56.1557876Z</dcterms:modified>
</coreProperties>
</file>