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401" w:rsidR="00056D6B" w:rsidP="00056D6B" w:rsidRDefault="00056D6B" w14:paraId="69E9B3D0" w14:textId="44EA7C39">
      <w:pPr>
        <w:spacing w:after="0" w:line="264" w:lineRule="auto"/>
        <w:rPr>
          <w:b w:val="1"/>
          <w:bCs w:val="1"/>
        </w:rPr>
      </w:pPr>
      <w:r w:rsidRPr="5B13E326" w:rsidR="0721B3D6">
        <w:rPr>
          <w:b w:val="1"/>
          <w:bCs w:val="1"/>
          <w:sz w:val="28"/>
          <w:szCs w:val="28"/>
        </w:rPr>
        <w:t>ESSENTIAL VAWG RISK MITIGATION ACTIONS</w:t>
      </w:r>
      <w:r w:rsidRPr="5B13E326" w:rsidR="6E70D9A6">
        <w:rPr>
          <w:b w:val="1"/>
          <w:bCs w:val="1"/>
          <w:sz w:val="28"/>
          <w:szCs w:val="28"/>
        </w:rPr>
        <w:t xml:space="preserve"> - PROTECTION</w:t>
      </w:r>
    </w:p>
    <w:p w:rsidRPr="00A56401" w:rsidR="00056D6B" w:rsidP="00056D6B" w:rsidRDefault="00056D6B" w14:paraId="45A41C23" w14:textId="77777777">
      <w:pPr>
        <w:spacing w:after="0" w:line="264" w:lineRule="auto"/>
        <w:rPr>
          <w:i/>
          <w:iCs/>
        </w:rPr>
      </w:pPr>
      <w:r w:rsidRPr="00A56401">
        <w:rPr>
          <w:i/>
          <w:iCs/>
        </w:rPr>
        <w:t>Source: IASC GBV Guidelines</w:t>
      </w:r>
    </w:p>
    <w:p w:rsidRPr="00A56401" w:rsidR="00056D6B" w:rsidP="00056D6B" w:rsidRDefault="00056D6B" w14:paraId="43D841EE" w14:textId="77777777">
      <w:pPr>
        <w:spacing w:after="0" w:line="264" w:lineRule="auto"/>
      </w:pPr>
    </w:p>
    <w:p w:rsidRPr="006C112E" w:rsidR="00056D6B" w:rsidP="00056D6B" w:rsidRDefault="00056D6B" w14:paraId="5A6631C8" w14:textId="77777777">
      <w:pPr>
        <w:spacing w:after="0" w:line="264" w:lineRule="auto"/>
        <w:rPr>
          <w:i/>
          <w:iCs/>
        </w:rPr>
      </w:pPr>
      <w:proofErr w:type="gramStart"/>
      <w:r w:rsidRPr="006C112E">
        <w:rPr>
          <w:b/>
          <w:bCs/>
          <w:i/>
          <w:iCs/>
        </w:rPr>
        <w:t>Note</w:t>
      </w:r>
      <w:r w:rsidRPr="002A6BB6">
        <w:t> :</w:t>
      </w:r>
      <w:proofErr w:type="gramEnd"/>
      <w:r w:rsidRPr="002A6BB6">
        <w:t xml:space="preserve"> </w:t>
      </w:r>
      <w:r w:rsidRPr="006C112E">
        <w:rPr>
          <w:i/>
          <w:iCs/>
        </w:rPr>
        <w:t>successful program implementation strategies will necessarily be dependent on the specific context</w:t>
      </w:r>
      <w:r>
        <w:rPr>
          <w:i/>
          <w:iCs/>
        </w:rPr>
        <w:t xml:space="preserve"> </w:t>
      </w:r>
      <w:r w:rsidRPr="006C112E">
        <w:rPr>
          <w:i/>
          <w:iCs/>
        </w:rPr>
        <w:t>in which you’re working</w:t>
      </w:r>
      <w:r>
        <w:rPr>
          <w:i/>
          <w:iCs/>
        </w:rPr>
        <w:t xml:space="preserve"> and the specific needs of different populations</w:t>
      </w:r>
      <w:r w:rsidRPr="006C112E">
        <w:rPr>
          <w:i/>
          <w:iCs/>
        </w:rPr>
        <w:t xml:space="preserve">. </w:t>
      </w:r>
      <w:r>
        <w:rPr>
          <w:i/>
          <w:iCs/>
        </w:rPr>
        <w:t xml:space="preserve">Addressing inequitable access to services by ensuring that females are registered in their own names will not have the same impact as ensuring access to legal/justice support for survivors of VAWG, </w:t>
      </w:r>
      <w:r w:rsidRPr="006C112E">
        <w:rPr>
          <w:i/>
          <w:iCs/>
        </w:rPr>
        <w:t xml:space="preserve">for example. For that reason, the examples provided in this toolkit are not prescriptive: we cannot tell you exactly what </w:t>
      </w:r>
      <w:r>
        <w:rPr>
          <w:i/>
          <w:iCs/>
        </w:rPr>
        <w:t xml:space="preserve">is needed or what </w:t>
      </w:r>
      <w:r w:rsidRPr="006C112E">
        <w:rPr>
          <w:i/>
          <w:iCs/>
        </w:rPr>
        <w:t xml:space="preserve">will work in your specific context.  </w:t>
      </w:r>
    </w:p>
    <w:p w:rsidR="00056D6B" w:rsidP="00056D6B" w:rsidRDefault="00056D6B" w14:paraId="1D90BC32" w14:textId="77777777">
      <w:pPr>
        <w:spacing w:after="0" w:line="264" w:lineRule="auto"/>
        <w:rPr>
          <w:i/>
          <w:iCs/>
        </w:rPr>
      </w:pPr>
    </w:p>
    <w:p w:rsidRPr="006C112E" w:rsidR="00056D6B" w:rsidP="00056D6B" w:rsidRDefault="00056D6B" w14:paraId="54908B47" w14:textId="77777777">
      <w:pPr>
        <w:spacing w:after="0" w:line="264" w:lineRule="auto"/>
        <w:rPr>
          <w:i/>
          <w:iCs/>
        </w:rPr>
      </w:pPr>
      <w:r w:rsidRPr="006C112E">
        <w:rPr>
          <w:i/>
          <w:iCs/>
        </w:rPr>
        <w:t xml:space="preserve">However, there are some general activities that are consistently good practice for improving safety and access, and/or which can serve as a proven basis from which contextual adaptations can and should be made. In the IASC GBV Guidelines, these are called “Essential Actions,” and they are outlined below. </w:t>
      </w:r>
    </w:p>
    <w:p w:rsidRPr="006C112E" w:rsidR="00056D6B" w:rsidP="00056D6B" w:rsidRDefault="00056D6B" w14:paraId="483BF6B6" w14:textId="77777777">
      <w:pPr>
        <w:spacing w:after="0" w:line="264" w:lineRule="auto"/>
        <w:rPr>
          <w:i/>
          <w:iCs/>
        </w:rPr>
      </w:pPr>
    </w:p>
    <w:p w:rsidRPr="006C112E" w:rsidR="00056D6B" w:rsidP="00056D6B" w:rsidRDefault="00056D6B" w14:paraId="3F748EBE" w14:textId="77777777">
      <w:pPr>
        <w:spacing w:after="0" w:line="264" w:lineRule="auto"/>
        <w:rPr>
          <w:b/>
          <w:bCs/>
        </w:rPr>
      </w:pPr>
      <w:r w:rsidRPr="006C112E">
        <w:rPr>
          <w:b/>
          <w:bCs/>
        </w:rPr>
        <w:t>PROGRAMMING</w:t>
      </w:r>
    </w:p>
    <w:p w:rsidR="00056D6B" w:rsidP="00056D6B" w:rsidRDefault="00056D6B" w14:paraId="7594D4B4" w14:textId="77777777">
      <w:pPr>
        <w:spacing w:after="0" w:line="264" w:lineRule="auto"/>
      </w:pPr>
    </w:p>
    <w:p w:rsidR="00056D6B" w:rsidP="00056D6B" w:rsidRDefault="00056D6B" w14:paraId="69B0FABE" w14:textId="77777777">
      <w:pPr>
        <w:pStyle w:val="ListParagraph"/>
        <w:numPr>
          <w:ilvl w:val="0"/>
          <w:numId w:val="1"/>
        </w:numPr>
        <w:spacing w:after="0" w:line="264" w:lineRule="auto"/>
      </w:pPr>
      <w:r w:rsidRPr="006C112E">
        <w:rPr>
          <w:b/>
          <w:bCs/>
        </w:rPr>
        <w:t>Integrate VAWG risk mitigation into protection monitoring activities</w:t>
      </w:r>
      <w:r>
        <w:t xml:space="preserve">, and </w:t>
      </w:r>
      <w:r w:rsidRPr="006C112E">
        <w:rPr>
          <w:b/>
          <w:bCs/>
        </w:rPr>
        <w:t>support the development of community-based protection strategies</w:t>
      </w:r>
    </w:p>
    <w:p w:rsidR="00056D6B" w:rsidP="00056D6B" w:rsidRDefault="00056D6B" w14:paraId="459046E1" w14:textId="77777777">
      <w:pPr>
        <w:pStyle w:val="ListParagraph"/>
        <w:numPr>
          <w:ilvl w:val="0"/>
          <w:numId w:val="1"/>
        </w:numPr>
        <w:spacing w:after="0" w:line="264" w:lineRule="auto"/>
      </w:pPr>
      <w:r>
        <w:t xml:space="preserve">Implement strategies that </w:t>
      </w:r>
      <w:r w:rsidRPr="006C112E">
        <w:rPr>
          <w:b/>
          <w:bCs/>
        </w:rPr>
        <w:t>safeguard those at risk of VAWG during documentation, profiling and registration processes</w:t>
      </w:r>
      <w:r>
        <w:t xml:space="preserve">. For example: </w:t>
      </w:r>
    </w:p>
    <w:p w:rsidR="00056D6B" w:rsidP="00056D6B" w:rsidRDefault="00056D6B" w14:paraId="4AFC093E" w14:textId="3E80356A">
      <w:pPr>
        <w:pStyle w:val="ListParagraph"/>
        <w:numPr>
          <w:ilvl w:val="1"/>
          <w:numId w:val="1"/>
        </w:numPr>
        <w:spacing w:after="0" w:line="264" w:lineRule="auto"/>
        <w:rPr/>
      </w:pPr>
      <w:r w:rsidR="75FCE33C">
        <w:rPr/>
        <w:t>Ensure</w:t>
      </w:r>
      <w:r w:rsidR="75FCE33C">
        <w:rPr/>
        <w:t xml:space="preserve"> </w:t>
      </w:r>
      <w:r w:rsidR="09B9066C">
        <w:rPr/>
        <w:t xml:space="preserve">meaningful </w:t>
      </w:r>
      <w:r w:rsidR="75FCE33C">
        <w:rPr/>
        <w:t>participation</w:t>
      </w:r>
      <w:r w:rsidR="75FCE33C">
        <w:rPr/>
        <w:t xml:space="preserve"> of women, </w:t>
      </w:r>
      <w:r w:rsidR="75FCE33C">
        <w:rPr/>
        <w:t>girls</w:t>
      </w:r>
      <w:r w:rsidR="75FCE33C">
        <w:rPr/>
        <w:t xml:space="preserve"> and other at-risk groups in the </w:t>
      </w:r>
      <w:r w:rsidR="75FCE33C">
        <w:rPr/>
        <w:t>processes;</w:t>
      </w:r>
      <w:r w:rsidR="75FCE33C">
        <w:rPr/>
        <w:t xml:space="preserve"> </w:t>
      </w:r>
    </w:p>
    <w:p w:rsidR="00056D6B" w:rsidP="00056D6B" w:rsidRDefault="00056D6B" w14:paraId="41FB71C1" w14:textId="77777777">
      <w:pPr>
        <w:pStyle w:val="ListParagraph"/>
        <w:numPr>
          <w:ilvl w:val="1"/>
          <w:numId w:val="1"/>
        </w:numPr>
        <w:spacing w:after="0" w:line="264" w:lineRule="auto"/>
      </w:pPr>
      <w:r>
        <w:t xml:space="preserve">Develop strategies that encourage affected populations to report their risk and/or history of </w:t>
      </w:r>
      <w:proofErr w:type="gramStart"/>
      <w:r>
        <w:t>VAWG;</w:t>
      </w:r>
      <w:proofErr w:type="gramEnd"/>
      <w:r>
        <w:t xml:space="preserve"> </w:t>
      </w:r>
    </w:p>
    <w:p w:rsidR="00056D6B" w:rsidP="00056D6B" w:rsidRDefault="00056D6B" w14:paraId="6647D7F8" w14:textId="77777777">
      <w:pPr>
        <w:pStyle w:val="ListParagraph"/>
        <w:numPr>
          <w:ilvl w:val="1"/>
          <w:numId w:val="1"/>
        </w:numPr>
        <w:spacing w:after="0" w:line="264" w:lineRule="auto"/>
      </w:pPr>
      <w:r>
        <w:t xml:space="preserve">Prioritize programs for women to receive, recover or replace personal </w:t>
      </w:r>
      <w:proofErr w:type="gramStart"/>
      <w:r>
        <w:t>documents;</w:t>
      </w:r>
      <w:proofErr w:type="gramEnd"/>
      <w:r>
        <w:t xml:space="preserve"> </w:t>
      </w:r>
    </w:p>
    <w:p w:rsidR="00056D6B" w:rsidP="00056D6B" w:rsidRDefault="00056D6B" w14:paraId="6D3543A5" w14:textId="77777777">
      <w:pPr>
        <w:pStyle w:val="ListParagraph"/>
        <w:numPr>
          <w:ilvl w:val="1"/>
          <w:numId w:val="1"/>
        </w:numPr>
        <w:spacing w:after="0" w:line="264" w:lineRule="auto"/>
      </w:pPr>
      <w:r>
        <w:t>Consider the need for special protection measures such as relocation and safe houses</w:t>
      </w:r>
    </w:p>
    <w:p w:rsidRPr="00BD31D0" w:rsidR="00056D6B" w:rsidP="5B13E326" w:rsidRDefault="00056D6B" w14:paraId="2F710921" w14:textId="77777777">
      <w:pPr>
        <w:pStyle w:val="ListParagraph"/>
        <w:numPr>
          <w:ilvl w:val="1"/>
          <w:numId w:val="1"/>
        </w:numPr>
        <w:spacing w:after="0" w:line="264" w:lineRule="auto"/>
        <w:rPr>
          <w:i w:val="1"/>
          <w:iCs w:val="1"/>
        </w:rPr>
      </w:pPr>
      <w:r w:rsidRPr="5B13E326" w:rsidR="0721B3D6">
        <w:rPr>
          <w:i w:val="1"/>
          <w:iCs w:val="1"/>
        </w:rPr>
        <w:t>Other according to context</w:t>
      </w:r>
    </w:p>
    <w:p w:rsidR="5B13E326" w:rsidP="5B13E326" w:rsidRDefault="5B13E326" w14:paraId="7FCAF753" w14:textId="7C724C2A">
      <w:pPr>
        <w:pStyle w:val="Normal"/>
        <w:spacing w:after="0" w:line="264" w:lineRule="auto"/>
        <w:rPr>
          <w:i w:val="1"/>
          <w:iCs w:val="1"/>
        </w:rPr>
      </w:pPr>
    </w:p>
    <w:p w:rsidR="00056D6B" w:rsidP="00056D6B" w:rsidRDefault="00056D6B" w14:paraId="1E77F7F4" w14:textId="77777777">
      <w:pPr>
        <w:pStyle w:val="ListParagraph"/>
        <w:numPr>
          <w:ilvl w:val="0"/>
          <w:numId w:val="1"/>
        </w:numPr>
        <w:spacing w:after="0" w:line="264" w:lineRule="auto"/>
      </w:pPr>
      <w:r>
        <w:t xml:space="preserve">Enhance the </w:t>
      </w:r>
      <w:r w:rsidRPr="006C112E">
        <w:rPr>
          <w:b/>
          <w:bCs/>
        </w:rPr>
        <w:t xml:space="preserve">capacity of security institutions/personnel to mitigate the risk of </w:t>
      </w:r>
      <w:r>
        <w:rPr>
          <w:b/>
          <w:bCs/>
        </w:rPr>
        <w:t>VAWG</w:t>
      </w:r>
      <w:r>
        <w:t xml:space="preserve">. For example:  </w:t>
      </w:r>
    </w:p>
    <w:p w:rsidR="00056D6B" w:rsidP="00056D6B" w:rsidRDefault="00056D6B" w14:paraId="7B70119F" w14:textId="77777777">
      <w:pPr>
        <w:pStyle w:val="ListParagraph"/>
        <w:numPr>
          <w:ilvl w:val="1"/>
          <w:numId w:val="1"/>
        </w:numPr>
        <w:spacing w:after="0" w:line="264" w:lineRule="auto"/>
      </w:pPr>
      <w:r>
        <w:t xml:space="preserve">Support employment of women in the security </w:t>
      </w:r>
      <w:proofErr w:type="gramStart"/>
      <w:r>
        <w:t>sector;</w:t>
      </w:r>
      <w:proofErr w:type="gramEnd"/>
      <w:r>
        <w:t xml:space="preserve"> </w:t>
      </w:r>
    </w:p>
    <w:p w:rsidR="00056D6B" w:rsidP="00056D6B" w:rsidRDefault="00056D6B" w14:paraId="1560F3A1" w14:textId="77777777">
      <w:pPr>
        <w:pStyle w:val="ListParagraph"/>
        <w:numPr>
          <w:ilvl w:val="1"/>
          <w:numId w:val="1"/>
        </w:numPr>
        <w:spacing w:after="0" w:line="264" w:lineRule="auto"/>
      </w:pPr>
      <w:r>
        <w:t xml:space="preserve">Work with VAWG specialists to train security personnel on issues of </w:t>
      </w:r>
      <w:proofErr w:type="gramStart"/>
      <w:r>
        <w:t>VAWG;</w:t>
      </w:r>
      <w:proofErr w:type="gramEnd"/>
      <w:r>
        <w:t xml:space="preserve"> </w:t>
      </w:r>
    </w:p>
    <w:p w:rsidR="00056D6B" w:rsidP="00056D6B" w:rsidRDefault="00056D6B" w14:paraId="436F2C7F" w14:textId="77777777">
      <w:pPr>
        <w:pStyle w:val="ListParagraph"/>
        <w:numPr>
          <w:ilvl w:val="1"/>
          <w:numId w:val="1"/>
        </w:numPr>
        <w:spacing w:after="0" w:line="264" w:lineRule="auto"/>
      </w:pPr>
      <w:r>
        <w:t xml:space="preserve">Advocate for implementation of codes of </w:t>
      </w:r>
      <w:proofErr w:type="gramStart"/>
      <w:r>
        <w:t>conduct;</w:t>
      </w:r>
      <w:proofErr w:type="gramEnd"/>
      <w:r>
        <w:t xml:space="preserve"> </w:t>
      </w:r>
    </w:p>
    <w:p w:rsidR="00056D6B" w:rsidP="00056D6B" w:rsidRDefault="00056D6B" w14:paraId="1B0AE925" w14:textId="77777777">
      <w:pPr>
        <w:pStyle w:val="ListParagraph"/>
        <w:numPr>
          <w:ilvl w:val="1"/>
          <w:numId w:val="1"/>
        </w:numPr>
        <w:spacing w:after="0" w:line="264" w:lineRule="auto"/>
      </w:pPr>
      <w:r>
        <w:t xml:space="preserve">Support secure environments in which VAWG can be reported to </w:t>
      </w:r>
      <w:proofErr w:type="gramStart"/>
      <w:r>
        <w:t>police;</w:t>
      </w:r>
      <w:proofErr w:type="gramEnd"/>
      <w:r>
        <w:t xml:space="preserve"> </w:t>
      </w:r>
    </w:p>
    <w:p w:rsidRPr="00BD31D0" w:rsidR="00056D6B" w:rsidP="5B13E326" w:rsidRDefault="00056D6B" w14:paraId="0C9EDE3A" w14:textId="77777777">
      <w:pPr>
        <w:pStyle w:val="ListParagraph"/>
        <w:numPr>
          <w:ilvl w:val="1"/>
          <w:numId w:val="1"/>
        </w:numPr>
        <w:spacing w:after="0" w:line="264" w:lineRule="auto"/>
        <w:rPr>
          <w:i w:val="1"/>
          <w:iCs w:val="1"/>
        </w:rPr>
      </w:pPr>
      <w:r w:rsidRPr="5B13E326" w:rsidR="0721B3D6">
        <w:rPr>
          <w:i w:val="1"/>
          <w:iCs w:val="1"/>
        </w:rPr>
        <w:t>Other according to context</w:t>
      </w:r>
    </w:p>
    <w:p w:rsidR="5B13E326" w:rsidP="5B13E326" w:rsidRDefault="5B13E326" w14:paraId="0017DED3" w14:textId="0C006AED">
      <w:pPr>
        <w:pStyle w:val="Normal"/>
        <w:spacing w:after="0" w:line="264" w:lineRule="auto"/>
        <w:rPr>
          <w:i w:val="1"/>
          <w:iCs w:val="1"/>
        </w:rPr>
      </w:pPr>
    </w:p>
    <w:p w:rsidR="00056D6B" w:rsidP="00056D6B" w:rsidRDefault="00056D6B" w14:paraId="45C009DF" w14:textId="77777777">
      <w:pPr>
        <w:pStyle w:val="ListParagraph"/>
        <w:numPr>
          <w:ilvl w:val="0"/>
          <w:numId w:val="1"/>
        </w:numPr>
        <w:spacing w:after="0" w:line="264" w:lineRule="auto"/>
      </w:pPr>
      <w:r w:rsidRPr="006C112E">
        <w:rPr>
          <w:b/>
          <w:bCs/>
        </w:rPr>
        <w:lastRenderedPageBreak/>
        <w:t>Promote access to justice for survivors of VAWG</w:t>
      </w:r>
      <w:r>
        <w:t xml:space="preserve"> by strengthening institutional capacities of state and traditional justice actors. For example:</w:t>
      </w:r>
    </w:p>
    <w:p w:rsidR="00056D6B" w:rsidP="00056D6B" w:rsidRDefault="00056D6B" w14:paraId="73478FB1" w14:textId="77777777">
      <w:pPr>
        <w:pStyle w:val="ListParagraph"/>
        <w:numPr>
          <w:ilvl w:val="1"/>
          <w:numId w:val="1"/>
        </w:numPr>
        <w:spacing w:after="0" w:line="264" w:lineRule="auto"/>
      </w:pPr>
      <w:r>
        <w:t xml:space="preserve">Provide training to relevant legal/justice actors on </w:t>
      </w:r>
      <w:proofErr w:type="gramStart"/>
      <w:r>
        <w:t>VAWG;</w:t>
      </w:r>
      <w:proofErr w:type="gramEnd"/>
      <w:r>
        <w:t xml:space="preserve"> </w:t>
      </w:r>
    </w:p>
    <w:p w:rsidR="00056D6B" w:rsidP="00056D6B" w:rsidRDefault="00056D6B" w14:paraId="1B6077C8" w14:textId="77777777">
      <w:pPr>
        <w:pStyle w:val="ListParagraph"/>
        <w:numPr>
          <w:ilvl w:val="1"/>
          <w:numId w:val="1"/>
        </w:numPr>
        <w:spacing w:after="0" w:line="264" w:lineRule="auto"/>
      </w:pPr>
      <w:r>
        <w:t xml:space="preserve">Support free and accessible legal </w:t>
      </w:r>
      <w:proofErr w:type="gramStart"/>
      <w:r>
        <w:t>aid;</w:t>
      </w:r>
      <w:proofErr w:type="gramEnd"/>
      <w:r>
        <w:t xml:space="preserve"> </w:t>
      </w:r>
    </w:p>
    <w:p w:rsidR="00056D6B" w:rsidP="00056D6B" w:rsidRDefault="00056D6B" w14:paraId="5EDFFE82" w14:textId="77777777">
      <w:pPr>
        <w:pStyle w:val="ListParagraph"/>
        <w:numPr>
          <w:ilvl w:val="1"/>
          <w:numId w:val="1"/>
        </w:numPr>
        <w:spacing w:after="0" w:line="264" w:lineRule="auto"/>
      </w:pPr>
      <w:r>
        <w:t xml:space="preserve">Provide protection for survivors and witnesses of VAWG during court </w:t>
      </w:r>
      <w:proofErr w:type="gramStart"/>
      <w:r>
        <w:t>processes;</w:t>
      </w:r>
      <w:proofErr w:type="gramEnd"/>
      <w:r>
        <w:t xml:space="preserve"> </w:t>
      </w:r>
    </w:p>
    <w:p w:rsidRPr="006C112E" w:rsidR="00056D6B" w:rsidP="00056D6B" w:rsidRDefault="00056D6B" w14:paraId="5233ACAC" w14:textId="77777777">
      <w:pPr>
        <w:pStyle w:val="ListParagraph"/>
        <w:numPr>
          <w:ilvl w:val="1"/>
          <w:numId w:val="1"/>
        </w:numPr>
        <w:spacing w:after="0" w:line="264" w:lineRule="auto"/>
        <w:rPr>
          <w:i/>
          <w:iCs/>
        </w:rPr>
      </w:pPr>
      <w:r w:rsidRPr="006C112E">
        <w:rPr>
          <w:i/>
          <w:iCs/>
        </w:rPr>
        <w:t>Other according to context</w:t>
      </w:r>
    </w:p>
    <w:p w:rsidR="00056D6B" w:rsidP="00056D6B" w:rsidRDefault="00056D6B" w14:paraId="23742E75" w14:textId="77777777">
      <w:pPr>
        <w:spacing w:after="0" w:line="264" w:lineRule="auto"/>
      </w:pPr>
    </w:p>
    <w:p w:rsidRPr="006C112E" w:rsidR="00056D6B" w:rsidP="00056D6B" w:rsidRDefault="00056D6B" w14:paraId="3B270E87" w14:textId="77777777">
      <w:pPr>
        <w:spacing w:after="0" w:line="264" w:lineRule="auto"/>
        <w:rPr>
          <w:b/>
          <w:bCs/>
        </w:rPr>
      </w:pPr>
      <w:r w:rsidRPr="006C112E">
        <w:rPr>
          <w:b/>
          <w:bCs/>
        </w:rPr>
        <w:t>POLICIES</w:t>
      </w:r>
    </w:p>
    <w:p w:rsidR="00056D6B" w:rsidP="00056D6B" w:rsidRDefault="00056D6B" w14:paraId="64652A95" w14:textId="77777777">
      <w:pPr>
        <w:spacing w:after="0" w:line="264" w:lineRule="auto"/>
      </w:pPr>
    </w:p>
    <w:p w:rsidR="00056D6B" w:rsidP="00056D6B" w:rsidRDefault="00056D6B" w14:paraId="181F724B" w14:textId="77777777">
      <w:pPr>
        <w:pStyle w:val="ListParagraph"/>
        <w:numPr>
          <w:ilvl w:val="0"/>
          <w:numId w:val="2"/>
        </w:numPr>
        <w:spacing w:after="0" w:line="264" w:lineRule="auto"/>
      </w:pPr>
      <w:r>
        <w:t xml:space="preserve">Support the reform of national and local laws and policies (including customary law) to </w:t>
      </w:r>
      <w:r w:rsidRPr="00D447BB">
        <w:rPr>
          <w:b/>
          <w:bCs/>
        </w:rPr>
        <w:t xml:space="preserve">promote access to justice and the rule of </w:t>
      </w:r>
      <w:proofErr w:type="gramStart"/>
      <w:r w:rsidRPr="00D447BB">
        <w:rPr>
          <w:b/>
          <w:bCs/>
        </w:rPr>
        <w:t>law</w:t>
      </w:r>
      <w:r>
        <w:t>, and</w:t>
      </w:r>
      <w:proofErr w:type="gramEnd"/>
      <w:r>
        <w:t xml:space="preserve"> allocate funding for sustainability. For example:</w:t>
      </w:r>
    </w:p>
    <w:p w:rsidR="00056D6B" w:rsidP="00056D6B" w:rsidRDefault="00056D6B" w14:paraId="09706AC3" w14:textId="77777777" w14:noSpellErr="1">
      <w:pPr>
        <w:pStyle w:val="ListParagraph"/>
        <w:numPr>
          <w:ilvl w:val="1"/>
          <w:numId w:val="2"/>
        </w:numPr>
        <w:spacing w:after="0" w:line="264" w:lineRule="auto"/>
        <w:rPr/>
      </w:pPr>
      <w:r w:rsidR="75FCE33C">
        <w:rPr/>
        <w:t xml:space="preserve">Strengthen VAWG protections in </w:t>
      </w:r>
      <w:r w:rsidR="75FCE33C">
        <w:rPr/>
        <w:t>law;</w:t>
      </w:r>
      <w:r w:rsidR="75FCE33C">
        <w:rPr/>
        <w:t xml:space="preserve"> </w:t>
      </w:r>
    </w:p>
    <w:p w:rsidR="55975D13" w:rsidP="02D28D08" w:rsidRDefault="55975D13" w14:paraId="38AD9795" w14:textId="1F6055EA">
      <w:pPr>
        <w:pStyle w:val="ListParagraph"/>
        <w:numPr>
          <w:ilvl w:val="1"/>
          <w:numId w:val="2"/>
        </w:numPr>
        <w:spacing w:after="0" w:line="264" w:lineRule="auto"/>
        <w:rPr>
          <w:rFonts w:ascii="Aptos" w:hAnsi="Aptos" w:eastAsia="Aptos"/>
          <w:b w:val="0"/>
          <w:bCs w:val="0"/>
          <w:i w:val="0"/>
          <w:iCs w:val="0"/>
          <w:caps w:val="0"/>
          <w:smallCaps w:val="0"/>
          <w:noProof w:val="0"/>
          <w:sz w:val="24"/>
          <w:szCs w:val="24"/>
          <w:lang w:val="en-US"/>
        </w:rPr>
      </w:pPr>
      <w:r w:rsidRPr="02D28D08" w:rsidR="55975D13">
        <w:rPr>
          <w:rFonts w:ascii="Aptos" w:hAnsi="Aptos" w:eastAsia="Aptos"/>
          <w:b w:val="0"/>
          <w:bCs w:val="0"/>
          <w:i w:val="0"/>
          <w:iCs w:val="0"/>
          <w:caps w:val="0"/>
          <w:smallCaps w:val="0"/>
          <w:noProof w:val="0"/>
          <w:sz w:val="24"/>
          <w:szCs w:val="24"/>
          <w:lang w:val="en-US"/>
        </w:rPr>
        <w:t>Advocate for accountability for perpetrators, enforcement of existing laws, and access to justice for survivors (including, but not limited to, the removal of laws that require reporting by health care providers or reporting to law enforcement before being able to seek medical attention);</w:t>
      </w:r>
    </w:p>
    <w:p w:rsidR="00056D6B" w:rsidP="00056D6B" w:rsidRDefault="00056D6B" w14:paraId="38BC6134" w14:textId="77777777">
      <w:pPr>
        <w:pStyle w:val="ListParagraph"/>
        <w:numPr>
          <w:ilvl w:val="1"/>
          <w:numId w:val="2"/>
        </w:numPr>
        <w:spacing w:after="0" w:line="264" w:lineRule="auto"/>
      </w:pPr>
      <w:r>
        <w:t xml:space="preserve">Support the ratification of key human rights </w:t>
      </w:r>
      <w:proofErr w:type="gramStart"/>
      <w:r>
        <w:t>standards;</w:t>
      </w:r>
      <w:proofErr w:type="gramEnd"/>
      <w:r>
        <w:t xml:space="preserve"> </w:t>
      </w:r>
    </w:p>
    <w:p w:rsidR="00056D6B" w:rsidP="00056D6B" w:rsidRDefault="00056D6B" w14:paraId="2DE9E1BB" w14:textId="77777777">
      <w:pPr>
        <w:pStyle w:val="ListParagraph"/>
        <w:numPr>
          <w:ilvl w:val="1"/>
          <w:numId w:val="2"/>
        </w:numPr>
        <w:spacing w:after="0" w:line="264" w:lineRule="auto"/>
      </w:pPr>
      <w:r>
        <w:t xml:space="preserve">Advocate for frameworks and action plans that contain VAWG-related measures in return, relocation and </w:t>
      </w:r>
      <w:proofErr w:type="gramStart"/>
      <w:r>
        <w:t>reintegration;</w:t>
      </w:r>
      <w:proofErr w:type="gramEnd"/>
    </w:p>
    <w:p w:rsidRPr="006C112E" w:rsidR="00056D6B" w:rsidP="00056D6B" w:rsidRDefault="00056D6B" w14:paraId="0085949C" w14:textId="77777777">
      <w:pPr>
        <w:pStyle w:val="ListParagraph"/>
        <w:numPr>
          <w:ilvl w:val="1"/>
          <w:numId w:val="2"/>
        </w:numPr>
        <w:spacing w:after="0" w:line="264" w:lineRule="auto"/>
        <w:rPr>
          <w:i/>
          <w:iCs/>
        </w:rPr>
      </w:pPr>
      <w:r w:rsidRPr="006C112E">
        <w:rPr>
          <w:i/>
          <w:iCs/>
        </w:rPr>
        <w:t>Other according to context</w:t>
      </w:r>
    </w:p>
    <w:p w:rsidR="006E6B8C" w:rsidRDefault="006E6B8C" w14:paraId="6999F959" w14:textId="77777777"/>
    <w:sectPr w:rsidR="006E6B8C" w:rsidSect="001322D3">
      <w:pgSz w:w="12240" w:h="15840" w:orient="portrait"/>
      <w:pgMar w:top="1440" w:right="1440" w:bottom="1440" w:left="1440" w:header="720" w:footer="720" w:gutter="0"/>
      <w:cols w:space="720"/>
      <w:docGrid w:linePitch="360"/>
      <w:titlePg w:val="1"/>
      <w:headerReference w:type="default" r:id="R1e4c6e8f231143b2"/>
      <w:headerReference w:type="first" r:id="R5f6663e557e24f73"/>
      <w:footerReference w:type="default" r:id="R40e5b9d70f2e4115"/>
      <w:footerReference w:type="first" r:id="R0ac1d3eb339d4d4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B13E326" w:rsidTr="5B13E326" w14:paraId="22874ACC">
      <w:trPr>
        <w:trHeight w:val="300"/>
      </w:trPr>
      <w:tc>
        <w:tcPr>
          <w:tcW w:w="3120" w:type="dxa"/>
          <w:tcMar/>
        </w:tcPr>
        <w:p w:rsidR="5B13E326" w:rsidP="5B13E326" w:rsidRDefault="5B13E326" w14:paraId="6D5000CF" w14:textId="58E8D547">
          <w:pPr>
            <w:pStyle w:val="Header"/>
            <w:bidi w:val="0"/>
            <w:ind w:left="-115"/>
            <w:jc w:val="left"/>
          </w:pPr>
        </w:p>
      </w:tc>
      <w:tc>
        <w:tcPr>
          <w:tcW w:w="3120" w:type="dxa"/>
          <w:tcMar/>
        </w:tcPr>
        <w:p w:rsidR="5B13E326" w:rsidP="5B13E326" w:rsidRDefault="5B13E326" w14:paraId="6D806C0D" w14:textId="5D5E32CC">
          <w:pPr>
            <w:pStyle w:val="Header"/>
            <w:bidi w:val="0"/>
            <w:jc w:val="center"/>
          </w:pPr>
        </w:p>
      </w:tc>
      <w:tc>
        <w:tcPr>
          <w:tcW w:w="3120" w:type="dxa"/>
          <w:tcMar/>
        </w:tcPr>
        <w:p w:rsidR="5B13E326" w:rsidP="5B13E326" w:rsidRDefault="5B13E326" w14:paraId="2A8F8AA5" w14:textId="1FE967EF">
          <w:pPr>
            <w:pStyle w:val="Header"/>
            <w:bidi w:val="0"/>
            <w:ind w:right="-115"/>
            <w:jc w:val="right"/>
          </w:pPr>
        </w:p>
      </w:tc>
    </w:tr>
  </w:tbl>
  <w:p w:rsidR="5B13E326" w:rsidP="5B13E326" w:rsidRDefault="5B13E326" w14:paraId="3B3DA3F8" w14:textId="0396048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B13E326" w:rsidTr="5B13E326" w14:paraId="58E2672A">
      <w:trPr>
        <w:trHeight w:val="300"/>
      </w:trPr>
      <w:tc>
        <w:tcPr>
          <w:tcW w:w="3120" w:type="dxa"/>
          <w:tcMar/>
        </w:tcPr>
        <w:p w:rsidR="5B13E326" w:rsidP="5B13E326" w:rsidRDefault="5B13E326" w14:paraId="7675ED7D" w14:textId="7A74C4E3">
          <w:pPr>
            <w:pStyle w:val="Header"/>
            <w:bidi w:val="0"/>
            <w:ind w:left="-115"/>
            <w:jc w:val="left"/>
          </w:pPr>
        </w:p>
      </w:tc>
      <w:tc>
        <w:tcPr>
          <w:tcW w:w="3120" w:type="dxa"/>
          <w:tcMar/>
        </w:tcPr>
        <w:p w:rsidR="5B13E326" w:rsidP="5B13E326" w:rsidRDefault="5B13E326" w14:paraId="255873FE" w14:textId="1385046D">
          <w:pPr>
            <w:pStyle w:val="Header"/>
            <w:bidi w:val="0"/>
            <w:jc w:val="center"/>
          </w:pPr>
        </w:p>
      </w:tc>
      <w:tc>
        <w:tcPr>
          <w:tcW w:w="3120" w:type="dxa"/>
          <w:tcMar/>
        </w:tcPr>
        <w:p w:rsidR="5B13E326" w:rsidP="5B13E326" w:rsidRDefault="5B13E326" w14:paraId="5864FE6A" w14:textId="760DF049">
          <w:pPr>
            <w:pStyle w:val="Header"/>
            <w:bidi w:val="0"/>
            <w:ind w:right="-115"/>
            <w:jc w:val="right"/>
          </w:pPr>
        </w:p>
      </w:tc>
    </w:tr>
  </w:tbl>
  <w:p w:rsidR="5B13E326" w:rsidP="5B13E326" w:rsidRDefault="5B13E326" w14:paraId="57F461C5" w14:textId="60C96A0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B13E326" w:rsidTr="5B13E326" w14:paraId="51158833">
      <w:trPr>
        <w:trHeight w:val="300"/>
      </w:trPr>
      <w:tc>
        <w:tcPr>
          <w:tcW w:w="3120" w:type="dxa"/>
          <w:tcMar/>
        </w:tcPr>
        <w:p w:rsidR="5B13E326" w:rsidP="5B13E326" w:rsidRDefault="5B13E326" w14:paraId="38B498D6" w14:textId="5DE7DE2C">
          <w:pPr>
            <w:pStyle w:val="Header"/>
            <w:bidi w:val="0"/>
            <w:ind w:left="-115"/>
            <w:jc w:val="left"/>
          </w:pPr>
        </w:p>
      </w:tc>
      <w:tc>
        <w:tcPr>
          <w:tcW w:w="3120" w:type="dxa"/>
          <w:tcMar/>
        </w:tcPr>
        <w:p w:rsidR="5B13E326" w:rsidP="5B13E326" w:rsidRDefault="5B13E326" w14:paraId="1D24578F" w14:textId="68A06DA3">
          <w:pPr>
            <w:pStyle w:val="Header"/>
            <w:bidi w:val="0"/>
            <w:jc w:val="center"/>
          </w:pPr>
        </w:p>
      </w:tc>
      <w:tc>
        <w:tcPr>
          <w:tcW w:w="3120" w:type="dxa"/>
          <w:tcMar/>
        </w:tcPr>
        <w:p w:rsidR="5B13E326" w:rsidP="5B13E326" w:rsidRDefault="5B13E326" w14:paraId="1146A7C5" w14:textId="21978FF6">
          <w:pPr>
            <w:pStyle w:val="Header"/>
            <w:bidi w:val="0"/>
            <w:ind w:right="-115"/>
            <w:jc w:val="right"/>
          </w:pPr>
        </w:p>
      </w:tc>
    </w:tr>
  </w:tbl>
  <w:p w:rsidR="5B13E326" w:rsidP="5B13E326" w:rsidRDefault="5B13E326" w14:paraId="68D95A34" w14:textId="1DC3294E">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5B13E326" w:rsidTr="5B13E326" w14:paraId="7E5591F6">
      <w:trPr>
        <w:trHeight w:val="300"/>
      </w:trPr>
      <w:tc>
        <w:tcPr>
          <w:tcW w:w="9360" w:type="dxa"/>
          <w:tcMar/>
        </w:tcPr>
        <w:p w:rsidR="5B13E326" w:rsidP="5B13E326" w:rsidRDefault="5B13E326" w14:paraId="46E86E2C" w14:textId="71633068">
          <w:pPr>
            <w:pStyle w:val="Header"/>
            <w:bidi w:val="0"/>
            <w:ind w:left="-115"/>
            <w:jc w:val="left"/>
          </w:pPr>
          <w:r w:rsidR="5B13E326">
            <w:drawing>
              <wp:inline wp14:editId="5D07C386" wp14:anchorId="36C5BF62">
                <wp:extent cx="5810250" cy="762000"/>
                <wp:effectExtent l="0" t="0" r="0" b="0"/>
                <wp:docPr id="7280109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28010972" name="Picture 72801097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6962598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5B13E326" w:rsidP="5B13E326" w:rsidRDefault="5B13E326" w14:paraId="7F757C3D" w14:textId="005FBA6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D75"/>
    <w:multiLevelType w:val="hybridMultilevel"/>
    <w:tmpl w:val="10B667F6"/>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4871BC"/>
    <w:multiLevelType w:val="hybridMultilevel"/>
    <w:tmpl w:val="8DFEB654"/>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57640010">
    <w:abstractNumId w:val="0"/>
  </w:num>
  <w:num w:numId="2" w16cid:durableId="62797609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6B"/>
    <w:rsid w:val="00056D6B"/>
    <w:rsid w:val="000C3289"/>
    <w:rsid w:val="001322D3"/>
    <w:rsid w:val="0014453F"/>
    <w:rsid w:val="006E6B8C"/>
    <w:rsid w:val="00757634"/>
    <w:rsid w:val="00A863B7"/>
    <w:rsid w:val="00D0059F"/>
    <w:rsid w:val="00D447BB"/>
    <w:rsid w:val="02D28D08"/>
    <w:rsid w:val="0721B3D6"/>
    <w:rsid w:val="09B9066C"/>
    <w:rsid w:val="3FA9B811"/>
    <w:rsid w:val="498DBE53"/>
    <w:rsid w:val="55975D13"/>
    <w:rsid w:val="5B13E326"/>
    <w:rsid w:val="63198B2F"/>
    <w:rsid w:val="690C9EAA"/>
    <w:rsid w:val="6E70D9A6"/>
    <w:rsid w:val="75FCE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43921"/>
  <w15:chartTrackingRefBased/>
  <w15:docId w15:val="{27DB0BB3-27D2-B54A-B497-D8ED22B0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6D6B"/>
  </w:style>
  <w:style w:type="paragraph" w:styleId="Heading1">
    <w:name w:val="heading 1"/>
    <w:basedOn w:val="Normal"/>
    <w:next w:val="Normal"/>
    <w:link w:val="Heading1Char"/>
    <w:uiPriority w:val="9"/>
    <w:qFormat/>
    <w:rsid w:val="00056D6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D6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D6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6D6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6D6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6D6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6D6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6D6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6D6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6D6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6D6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6D6B"/>
    <w:rPr>
      <w:rFonts w:eastAsiaTheme="majorEastAsia" w:cstheme="majorBidi"/>
      <w:color w:val="272727" w:themeColor="text1" w:themeTint="D8"/>
    </w:rPr>
  </w:style>
  <w:style w:type="paragraph" w:styleId="Title">
    <w:name w:val="Title"/>
    <w:basedOn w:val="Normal"/>
    <w:next w:val="Normal"/>
    <w:link w:val="TitleChar"/>
    <w:uiPriority w:val="10"/>
    <w:qFormat/>
    <w:rsid w:val="00056D6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6D6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6D6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6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D6B"/>
    <w:pPr>
      <w:spacing w:before="160"/>
      <w:jc w:val="center"/>
    </w:pPr>
    <w:rPr>
      <w:i/>
      <w:iCs/>
      <w:color w:val="404040" w:themeColor="text1" w:themeTint="BF"/>
    </w:rPr>
  </w:style>
  <w:style w:type="character" w:styleId="QuoteChar" w:customStyle="1">
    <w:name w:val="Quote Char"/>
    <w:basedOn w:val="DefaultParagraphFont"/>
    <w:link w:val="Quote"/>
    <w:uiPriority w:val="29"/>
    <w:rsid w:val="00056D6B"/>
    <w:rPr>
      <w:i/>
      <w:iCs/>
      <w:color w:val="404040" w:themeColor="text1" w:themeTint="BF"/>
    </w:rPr>
  </w:style>
  <w:style w:type="paragraph" w:styleId="ListParagraph">
    <w:name w:val="List Paragraph"/>
    <w:basedOn w:val="Normal"/>
    <w:uiPriority w:val="34"/>
    <w:qFormat/>
    <w:rsid w:val="00056D6B"/>
    <w:pPr>
      <w:ind w:left="720"/>
      <w:contextualSpacing/>
    </w:pPr>
  </w:style>
  <w:style w:type="character" w:styleId="IntenseEmphasis">
    <w:name w:val="Intense Emphasis"/>
    <w:basedOn w:val="DefaultParagraphFont"/>
    <w:uiPriority w:val="21"/>
    <w:qFormat/>
    <w:rsid w:val="00056D6B"/>
    <w:rPr>
      <w:i/>
      <w:iCs/>
      <w:color w:val="0F4761" w:themeColor="accent1" w:themeShade="BF"/>
    </w:rPr>
  </w:style>
  <w:style w:type="paragraph" w:styleId="IntenseQuote">
    <w:name w:val="Intense Quote"/>
    <w:basedOn w:val="Normal"/>
    <w:next w:val="Normal"/>
    <w:link w:val="IntenseQuoteChar"/>
    <w:uiPriority w:val="30"/>
    <w:qFormat/>
    <w:rsid w:val="00056D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6D6B"/>
    <w:rPr>
      <w:i/>
      <w:iCs/>
      <w:color w:val="0F4761" w:themeColor="accent1" w:themeShade="BF"/>
    </w:rPr>
  </w:style>
  <w:style w:type="character" w:styleId="IntenseReference">
    <w:name w:val="Intense Reference"/>
    <w:basedOn w:val="DefaultParagraphFont"/>
    <w:uiPriority w:val="32"/>
    <w:qFormat/>
    <w:rsid w:val="00056D6B"/>
    <w:rPr>
      <w:b/>
      <w:bCs/>
      <w:smallCaps/>
      <w:color w:val="0F4761" w:themeColor="accent1" w:themeShade="BF"/>
      <w:spacing w:val="5"/>
    </w:rPr>
  </w:style>
  <w:style w:type="paragraph" w:styleId="Header">
    <w:uiPriority w:val="99"/>
    <w:name w:val="header"/>
    <w:basedOn w:val="Normal"/>
    <w:unhideWhenUsed/>
    <w:rsid w:val="5B13E326"/>
    <w:pPr>
      <w:tabs>
        <w:tab w:val="center" w:leader="none" w:pos="4680"/>
        <w:tab w:val="right" w:leader="none" w:pos="9360"/>
      </w:tabs>
      <w:spacing w:after="0" w:line="240" w:lineRule="auto"/>
    </w:pPr>
  </w:style>
  <w:style w:type="paragraph" w:styleId="Footer">
    <w:uiPriority w:val="99"/>
    <w:name w:val="footer"/>
    <w:basedOn w:val="Normal"/>
    <w:unhideWhenUsed/>
    <w:rsid w:val="5B13E32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8acc9df88a6d45ed" /><Relationship Type="http://schemas.microsoft.com/office/2011/relationships/commentsExtended" Target="commentsExtended.xml" Id="R27d246e7bb7e4480" /><Relationship Type="http://schemas.microsoft.com/office/2016/09/relationships/commentsIds" Target="commentsIds.xml" Id="Rc2ef82b517c242da" /><Relationship Type="http://schemas.openxmlformats.org/officeDocument/2006/relationships/header" Target="header.xml" Id="R1e4c6e8f231143b2" /><Relationship Type="http://schemas.openxmlformats.org/officeDocument/2006/relationships/header" Target="header2.xml" Id="R5f6663e557e24f73" /><Relationship Type="http://schemas.openxmlformats.org/officeDocument/2006/relationships/footer" Target="footer.xml" Id="R40e5b9d70f2e4115" /><Relationship Type="http://schemas.openxmlformats.org/officeDocument/2006/relationships/footer" Target="footer2.xml" Id="R0ac1d3eb339d4d44" /></Relationships>
</file>

<file path=word/_rels/header2.xml.rels>&#65279;<?xml version="1.0" encoding="utf-8"?><Relationships xmlns="http://schemas.openxmlformats.org/package/2006/relationships"><Relationship Type="http://schemas.openxmlformats.org/officeDocument/2006/relationships/image" Target="/media/image.jpg" Id="rId4696259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5</revision>
  <dcterms:created xsi:type="dcterms:W3CDTF">2025-10-15T19:56:00.0000000Z</dcterms:created>
  <dcterms:modified xsi:type="dcterms:W3CDTF">2026-02-27T23:20:23.7779707Z</dcterms:modified>
</coreProperties>
</file>