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F44D77F" w:rsidP="08403B98" w:rsidRDefault="7F44D77F" w14:paraId="4093906C" w14:textId="10D9092F">
      <w:pPr>
        <w:spacing w:before="0" w:beforeAutospacing="off" w:after="0" w:afterAutospacing="off" w:line="266" w:lineRule="auto"/>
        <w:rPr>
          <w:rFonts w:ascii="Aptos" w:hAnsi="Aptos" w:eastAsia="Aptos" w:cs="Aptos"/>
          <w:noProof w:val="0"/>
          <w:sz w:val="28"/>
          <w:szCs w:val="28"/>
          <w:lang w:val="en-US"/>
        </w:rPr>
      </w:pPr>
      <w:r w:rsidRPr="08403B98" w:rsidR="7F44D77F">
        <w:rPr>
          <w:rFonts w:ascii="Aptos" w:hAnsi="Aptos" w:eastAsia="Aptos" w:cs="Aptos"/>
          <w:b w:val="1"/>
          <w:bCs w:val="1"/>
          <w:noProof w:val="0"/>
          <w:sz w:val="28"/>
          <w:szCs w:val="28"/>
          <w:lang w:val="en-US"/>
        </w:rPr>
        <w:t>SHELTER &amp; NFI SAFETY AUDIT TOOL</w:t>
      </w:r>
    </w:p>
    <w:p w:rsidR="7F44D77F" w:rsidP="08403B98" w:rsidRDefault="7F44D77F" w14:paraId="2BC144F4" w14:textId="1755F0A2">
      <w:pPr>
        <w:spacing w:after="0" w:line="266" w:lineRule="auto"/>
        <w:rPr>
          <w:i w:val="1"/>
          <w:iCs w:val="1"/>
          <w:sz w:val="24"/>
          <w:szCs w:val="24"/>
        </w:rPr>
      </w:pPr>
      <w:r w:rsidRPr="08403B98" w:rsidR="7F44D77F">
        <w:rPr>
          <w:i w:val="1"/>
          <w:iCs w:val="1"/>
        </w:rPr>
        <w:t>Sources: Acted/Somalia multisectoral safety audit; UNICEF Rapid Assessment tools</w:t>
      </w:r>
    </w:p>
    <w:p w:rsidR="283D6D95" w:rsidP="283D6D95" w:rsidRDefault="283D6D95" w14:paraId="77647612" w14:textId="3DE827AA">
      <w:pPr>
        <w:spacing w:before="0" w:beforeAutospacing="off" w:after="0" w:afterAutospacing="off"/>
        <w:rPr>
          <w:rFonts w:ascii="Aptos" w:hAnsi="Aptos" w:eastAsia="Aptos" w:cs="Aptos"/>
          <w:noProof w:val="0"/>
          <w:color w:val="000000" w:themeColor="text1" w:themeTint="FF" w:themeShade="FF"/>
          <w:sz w:val="24"/>
          <w:szCs w:val="24"/>
          <w:lang w:val="en-US"/>
        </w:rPr>
      </w:pPr>
    </w:p>
    <w:p w:rsidR="7F44D77F" w:rsidP="08403B98" w:rsidRDefault="7F44D77F" w14:paraId="596D0A0B" w14:textId="7FF560AE">
      <w:pPr>
        <w:spacing w:before="0" w:beforeAutospacing="off" w:after="0" w:afterAutospacing="off"/>
        <w:rPr>
          <w:rFonts w:ascii="Aptos" w:hAnsi="Aptos" w:eastAsia="Aptos" w:cs="Aptos"/>
          <w:noProof w:val="0"/>
          <w:color w:val="000000" w:themeColor="text1" w:themeTint="FF" w:themeShade="FF"/>
          <w:sz w:val="24"/>
          <w:szCs w:val="24"/>
          <w:lang w:val="en-US"/>
        </w:rPr>
      </w:pPr>
      <w:r w:rsidRPr="08403B98" w:rsidR="7F44D77F">
        <w:rPr>
          <w:rFonts w:ascii="Aptos" w:hAnsi="Aptos" w:eastAsia="Aptos" w:cs="Aptos"/>
          <w:b w:val="0"/>
          <w:bCs w:val="0"/>
          <w:noProof w:val="0"/>
          <w:color w:val="000000" w:themeColor="text1" w:themeTint="FF" w:themeShade="FF"/>
          <w:sz w:val="24"/>
          <w:szCs w:val="24"/>
          <w:lang w:val="en-US"/>
        </w:rPr>
        <w:t xml:space="preserve">This tool is part of CARE’s </w:t>
      </w:r>
      <w:hyperlink r:id="R5e7a1592aeaa4350">
        <w:r w:rsidRPr="08403B98" w:rsidR="7F44D77F">
          <w:rPr>
            <w:rStyle w:val="Hyperlink"/>
            <w:rFonts w:ascii="Aptos" w:hAnsi="Aptos" w:eastAsia="Aptos" w:cs="Aptos"/>
            <w:b w:val="1"/>
            <w:bCs w:val="1"/>
            <w:noProof w:val="0"/>
            <w:sz w:val="24"/>
            <w:szCs w:val="24"/>
            <w:lang w:val="en-US"/>
          </w:rPr>
          <w:t>Do No Harm in Practice Toolkit</w:t>
        </w:r>
      </w:hyperlink>
      <w:r w:rsidRPr="08403B98" w:rsidR="7F44D77F">
        <w:rPr>
          <w:rFonts w:ascii="Aptos" w:hAnsi="Aptos" w:eastAsia="Aptos" w:cs="Aptos"/>
          <w:b w:val="1"/>
          <w:bCs w:val="1"/>
          <w:noProof w:val="0"/>
          <w:color w:val="000000" w:themeColor="text1" w:themeTint="FF" w:themeShade="FF"/>
          <w:sz w:val="24"/>
          <w:szCs w:val="24"/>
          <w:lang w:val="en-US"/>
        </w:rPr>
        <w:t xml:space="preserve">, </w:t>
      </w:r>
      <w:r w:rsidRPr="08403B98" w:rsidR="7F44D77F">
        <w:rPr>
          <w:rFonts w:ascii="Aptos" w:hAnsi="Aptos" w:eastAsia="Aptos" w:cs="Aptos"/>
          <w:noProof w:val="0"/>
          <w:color w:val="000000" w:themeColor="text1" w:themeTint="FF" w:themeShade="FF"/>
          <w:sz w:val="24"/>
          <w:szCs w:val="24"/>
          <w:lang w:val="en-US"/>
        </w:rPr>
        <w:t xml:space="preserve">specifically the </w:t>
      </w:r>
      <w:r w:rsidRPr="08403B98" w:rsidR="7F44D77F">
        <w:rPr>
          <w:rFonts w:ascii="Aptos" w:hAnsi="Aptos" w:eastAsia="Aptos" w:cs="Aptos"/>
          <w:strike w:val="0"/>
          <w:dstrike w:val="0"/>
          <w:noProof w:val="0"/>
          <w:color w:val="000000" w:themeColor="text1" w:themeTint="FF" w:themeShade="FF"/>
          <w:sz w:val="24"/>
          <w:szCs w:val="24"/>
          <w:u w:val="single"/>
          <w:lang w:val="en-US"/>
        </w:rPr>
        <w:t xml:space="preserve">Assessment </w:t>
      </w:r>
      <w:r w:rsidRPr="08403B98" w:rsidR="7F44D77F">
        <w:rPr>
          <w:rFonts w:ascii="Aptos" w:hAnsi="Aptos" w:eastAsia="Aptos" w:cs="Aptos"/>
          <w:noProof w:val="0"/>
          <w:color w:val="000000" w:themeColor="text1" w:themeTint="FF" w:themeShade="FF"/>
          <w:sz w:val="24"/>
          <w:szCs w:val="24"/>
          <w:lang w:val="en-US"/>
        </w:rPr>
        <w:t>section</w:t>
      </w:r>
      <w:r w:rsidRPr="08403B98" w:rsidR="7F44D77F">
        <w:rPr>
          <w:rFonts w:ascii="Aptos" w:hAnsi="Aptos" w:eastAsia="Aptos" w:cs="Aptos"/>
          <w:noProof w:val="0"/>
          <w:color w:val="000000" w:themeColor="text1" w:themeTint="FF" w:themeShade="FF"/>
          <w:sz w:val="24"/>
          <w:szCs w:val="24"/>
          <w:lang w:val="en-US"/>
        </w:rPr>
        <w:t>. </w:t>
      </w:r>
    </w:p>
    <w:p w:rsidR="7F44D77F" w:rsidP="08403B98" w:rsidRDefault="7F44D77F" w14:paraId="65966781" w14:textId="69E3600C">
      <w:pPr>
        <w:spacing w:before="0" w:beforeAutospacing="off" w:after="0" w:afterAutospacing="off"/>
        <w:rPr>
          <w:rFonts w:ascii="Aptos" w:hAnsi="Aptos" w:eastAsia="Aptos" w:cs="Aptos"/>
          <w:noProof w:val="0"/>
          <w:color w:val="000000" w:themeColor="text1" w:themeTint="FF" w:themeShade="FF"/>
          <w:sz w:val="24"/>
          <w:szCs w:val="24"/>
          <w:lang w:val="en-US"/>
        </w:rPr>
      </w:pPr>
      <w:r w:rsidRPr="08403B98" w:rsidR="7F44D77F">
        <w:rPr>
          <w:rFonts w:ascii="Aptos" w:hAnsi="Aptos" w:eastAsia="Aptos" w:cs="Aptos"/>
          <w:noProof w:val="0"/>
          <w:color w:val="000000" w:themeColor="text1" w:themeTint="FF" w:themeShade="FF"/>
          <w:sz w:val="24"/>
          <w:szCs w:val="24"/>
          <w:lang w:val="en-US"/>
        </w:rPr>
        <w:t xml:space="preserve">  </w:t>
      </w:r>
    </w:p>
    <w:p w:rsidR="7F44D77F" w:rsidP="283D6D95" w:rsidRDefault="7F44D77F" w14:paraId="28F29C98" w14:textId="681E78C3">
      <w:pPr>
        <w:spacing w:before="0" w:beforeAutospacing="off" w:after="0" w:afterAutospacing="off"/>
        <w:rPr>
          <w:rFonts w:ascii="Aptos" w:hAnsi="Aptos" w:eastAsia="Aptos" w:cs="Aptos"/>
          <w:noProof w:val="0"/>
          <w:color w:val="000000" w:themeColor="text1" w:themeTint="FF" w:themeShade="FF"/>
          <w:sz w:val="24"/>
          <w:szCs w:val="24"/>
          <w:lang w:val="en-US"/>
        </w:rPr>
      </w:pPr>
      <w:r w:rsidRPr="283D6D95" w:rsidR="7F44D77F">
        <w:rPr>
          <w:rFonts w:ascii="Aptos" w:hAnsi="Aptos" w:eastAsia="Aptos" w:cs="Aptos"/>
          <w:b w:val="1"/>
          <w:bCs w:val="1"/>
          <w:noProof w:val="0"/>
          <w:color w:val="000000" w:themeColor="text1" w:themeTint="FF" w:themeShade="FF"/>
          <w:sz w:val="24"/>
          <w:szCs w:val="24"/>
          <w:lang w:val="en-US"/>
        </w:rPr>
        <w:t>WHAT IS IT?</w:t>
      </w:r>
      <w:r w:rsidRPr="283D6D95" w:rsidR="7F44D77F">
        <w:rPr>
          <w:rFonts w:ascii="Aptos" w:hAnsi="Aptos" w:eastAsia="Aptos" w:cs="Aptos"/>
          <w:noProof w:val="0"/>
          <w:color w:val="000000" w:themeColor="text1" w:themeTint="FF" w:themeShade="FF"/>
          <w:sz w:val="24"/>
          <w:szCs w:val="24"/>
          <w:lang w:val="en-US"/>
        </w:rPr>
        <w:t> </w:t>
      </w:r>
    </w:p>
    <w:p w:rsidR="7F44D77F" w:rsidP="283D6D95" w:rsidRDefault="7F44D77F" w14:paraId="1B111A25" w14:textId="7A6CDC39">
      <w:pPr>
        <w:spacing w:before="0" w:beforeAutospacing="off" w:after="0" w:afterAutospacing="off"/>
        <w:rPr>
          <w:rFonts w:ascii="Aptos" w:hAnsi="Aptos" w:eastAsia="Aptos" w:cs="Aptos"/>
          <w:noProof w:val="0"/>
          <w:color w:val="auto"/>
          <w:sz w:val="24"/>
          <w:szCs w:val="24"/>
          <w:lang w:val="en-US"/>
        </w:rPr>
      </w:pPr>
      <w:r w:rsidRPr="283D6D95" w:rsidR="7F44D77F">
        <w:rPr>
          <w:rFonts w:ascii="Aptos" w:hAnsi="Aptos" w:eastAsia="Aptos" w:cs="Aptos"/>
          <w:noProof w:val="0"/>
          <w:sz w:val="24"/>
          <w:szCs w:val="24"/>
          <w:lang w:val="en-AU"/>
        </w:rPr>
        <w:t xml:space="preserve">Safety audits support the collection and recording of observations related to women and girls’ safety and security in a camp, </w:t>
      </w:r>
      <w:r w:rsidRPr="283D6D95" w:rsidR="7F44D77F">
        <w:rPr>
          <w:rFonts w:ascii="Aptos" w:hAnsi="Aptos" w:eastAsia="Aptos" w:cs="Aptos"/>
          <w:noProof w:val="0"/>
          <w:sz w:val="24"/>
          <w:szCs w:val="24"/>
          <w:lang w:val="en-AU"/>
        </w:rPr>
        <w:t>settlement</w:t>
      </w:r>
      <w:r w:rsidRPr="283D6D95" w:rsidR="7F44D77F">
        <w:rPr>
          <w:rFonts w:ascii="Aptos" w:hAnsi="Aptos" w:eastAsia="Aptos" w:cs="Aptos"/>
          <w:noProof w:val="0"/>
          <w:sz w:val="24"/>
          <w:szCs w:val="24"/>
          <w:lang w:val="en-AU"/>
        </w:rPr>
        <w:t xml:space="preserve"> or community, to help build an understanding of </w:t>
      </w:r>
      <w:r w:rsidRPr="283D6D95" w:rsidR="7F44D77F">
        <w:rPr>
          <w:rFonts w:ascii="Aptos" w:hAnsi="Aptos" w:eastAsia="Aptos" w:cs="Aptos"/>
          <w:noProof w:val="0"/>
          <w:color w:val="auto"/>
          <w:sz w:val="24"/>
          <w:szCs w:val="24"/>
          <w:lang w:val="en-AU"/>
        </w:rPr>
        <w:t xml:space="preserve">the risks of VAWG and barriers to access. Safety audits are </w:t>
      </w:r>
      <w:r w:rsidRPr="283D6D95" w:rsidR="7F44D77F">
        <w:rPr>
          <w:rFonts w:ascii="Aptos" w:hAnsi="Aptos" w:eastAsia="Aptos" w:cs="Aptos"/>
          <w:noProof w:val="0"/>
          <w:color w:val="auto"/>
          <w:sz w:val="24"/>
          <w:szCs w:val="24"/>
          <w:lang w:val="en-AU"/>
        </w:rPr>
        <w:t>generally used</w:t>
      </w:r>
      <w:r w:rsidRPr="283D6D95" w:rsidR="7F44D77F">
        <w:rPr>
          <w:rFonts w:ascii="Aptos" w:hAnsi="Aptos" w:eastAsia="Aptos" w:cs="Aptos"/>
          <w:noProof w:val="0"/>
          <w:color w:val="auto"/>
          <w:sz w:val="24"/>
          <w:szCs w:val="24"/>
          <w:lang w:val="en-AU"/>
        </w:rPr>
        <w:t xml:space="preserve"> in one of two ways:</w:t>
      </w:r>
    </w:p>
    <w:p w:rsidR="7F44D77F" w:rsidP="08403B98" w:rsidRDefault="7F44D77F" w14:paraId="78AC8C07" w14:textId="7685E369">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auto"/>
          <w:sz w:val="24"/>
          <w:szCs w:val="24"/>
          <w:lang w:val="en-AU"/>
        </w:rPr>
      </w:pPr>
      <w:r w:rsidRPr="08403B98" w:rsidR="2AD1BB6E">
        <w:rPr>
          <w:rFonts w:ascii="Aptos" w:hAnsi="Aptos" w:eastAsia="Aptos" w:cs="Aptos"/>
          <w:noProof w:val="0"/>
          <w:color w:val="auto"/>
          <w:sz w:val="24"/>
          <w:szCs w:val="24"/>
          <w:lang w:val="en-AU"/>
        </w:rPr>
        <w:t xml:space="preserve">To triangulate information generated through other rapid assessment activities – for example, to complement information collected in </w:t>
      </w:r>
      <w:r w:rsidRPr="08403B98" w:rsidR="2AD1BB6E">
        <w:rPr>
          <w:rFonts w:ascii="Aptos" w:hAnsi="Aptos" w:eastAsia="Aptos" w:cs="Aptos"/>
          <w:strike w:val="0"/>
          <w:dstrike w:val="0"/>
          <w:noProof w:val="0"/>
          <w:color w:val="auto"/>
          <w:sz w:val="24"/>
          <w:szCs w:val="24"/>
          <w:lang w:val="en-AU"/>
        </w:rPr>
        <w:t>focus group discussions</w:t>
      </w:r>
      <w:r w:rsidRPr="08403B98" w:rsidR="2AD1BB6E">
        <w:rPr>
          <w:rFonts w:ascii="Aptos" w:hAnsi="Aptos" w:eastAsia="Aptos" w:cs="Aptos"/>
          <w:noProof w:val="0"/>
          <w:color w:val="auto"/>
          <w:sz w:val="24"/>
          <w:szCs w:val="24"/>
          <w:lang w:val="en-AU"/>
        </w:rPr>
        <w:t xml:space="preserve"> (on </w:t>
      </w:r>
      <w:hyperlink r:id="Rb1e575bc00ce419b">
        <w:r w:rsidRPr="08403B98" w:rsidR="2AD1BB6E">
          <w:rPr>
            <w:rStyle w:val="Hyperlink"/>
            <w:rFonts w:ascii="Aptos" w:hAnsi="Aptos" w:eastAsia="Aptos" w:cs="Aptos"/>
            <w:noProof w:val="0"/>
            <w:sz w:val="24"/>
            <w:szCs w:val="24"/>
            <w:lang w:val="en-AU"/>
          </w:rPr>
          <w:t>safety perceptions</w:t>
        </w:r>
      </w:hyperlink>
      <w:r w:rsidRPr="08403B98" w:rsidR="2AD1BB6E">
        <w:rPr>
          <w:rFonts w:ascii="Aptos" w:hAnsi="Aptos" w:eastAsia="Aptos" w:cs="Aptos"/>
          <w:noProof w:val="0"/>
          <w:color w:val="auto"/>
          <w:sz w:val="24"/>
          <w:szCs w:val="24"/>
          <w:lang w:val="en-AU"/>
        </w:rPr>
        <w:t xml:space="preserve"> and/or </w:t>
      </w:r>
      <w:hyperlink r:id="R50e55fd7a1f54bc8">
        <w:r w:rsidRPr="08403B98" w:rsidR="2AD1BB6E">
          <w:rPr>
            <w:rStyle w:val="Hyperlink"/>
            <w:rFonts w:ascii="Aptos" w:hAnsi="Aptos" w:eastAsia="Aptos" w:cs="Aptos"/>
            <w:noProof w:val="0"/>
            <w:sz w:val="24"/>
            <w:szCs w:val="24"/>
            <w:lang w:val="en-AU"/>
          </w:rPr>
          <w:t>barriers to access</w:t>
        </w:r>
      </w:hyperlink>
      <w:r w:rsidRPr="08403B98" w:rsidR="2AD1BB6E">
        <w:rPr>
          <w:rFonts w:ascii="Aptos" w:hAnsi="Aptos" w:eastAsia="Aptos" w:cs="Aptos"/>
          <w:noProof w:val="0"/>
          <w:color w:val="auto"/>
          <w:sz w:val="24"/>
          <w:szCs w:val="24"/>
          <w:lang w:val="en-AU"/>
        </w:rPr>
        <w:t xml:space="preserve">) and </w:t>
      </w:r>
      <w:hyperlink r:id="R32a5af3f919a48b0">
        <w:r w:rsidRPr="08403B98" w:rsidR="2AD1BB6E">
          <w:rPr>
            <w:rStyle w:val="Hyperlink"/>
            <w:rFonts w:ascii="Aptos" w:hAnsi="Aptos" w:eastAsia="Aptos" w:cs="Aptos"/>
            <w:strike w:val="0"/>
            <w:dstrike w:val="0"/>
            <w:noProof w:val="0"/>
            <w:color w:val="auto"/>
            <w:sz w:val="24"/>
            <w:szCs w:val="24"/>
            <w:lang w:val="en-AU"/>
          </w:rPr>
          <w:t>key informant interviews with community members</w:t>
        </w:r>
      </w:hyperlink>
      <w:r w:rsidRPr="08403B98" w:rsidR="2AD1BB6E">
        <w:rPr>
          <w:rFonts w:ascii="Aptos" w:hAnsi="Aptos" w:eastAsia="Aptos" w:cs="Aptos"/>
          <w:noProof w:val="0"/>
          <w:color w:val="auto"/>
          <w:sz w:val="24"/>
          <w:szCs w:val="24"/>
          <w:lang w:val="en-AU"/>
        </w:rPr>
        <w:t>; or</w:t>
      </w:r>
    </w:p>
    <w:p w:rsidR="7F44D77F" w:rsidP="283D6D95" w:rsidRDefault="7F44D77F" w14:paraId="025A743F" w14:textId="59131DD3">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283D6D95" w:rsidR="7F44D77F">
        <w:rPr>
          <w:rFonts w:ascii="Aptos" w:hAnsi="Aptos" w:eastAsia="Aptos" w:cs="Aptos"/>
          <w:noProof w:val="0"/>
          <w:color w:val="auto"/>
          <w:sz w:val="24"/>
          <w:szCs w:val="24"/>
          <w:lang w:val="en-AU"/>
        </w:rPr>
        <w:t>As a primary information collec</w:t>
      </w:r>
      <w:r w:rsidRPr="283D6D95" w:rsidR="7F44D77F">
        <w:rPr>
          <w:rFonts w:ascii="Aptos" w:hAnsi="Aptos" w:eastAsia="Aptos" w:cs="Aptos"/>
          <w:noProof w:val="0"/>
          <w:color w:val="auto"/>
          <w:sz w:val="24"/>
          <w:szCs w:val="24"/>
          <w:lang w:val="en-AU"/>
        </w:rPr>
        <w:t>tion metho</w:t>
      </w:r>
      <w:r w:rsidRPr="283D6D95" w:rsidR="7F44D77F">
        <w:rPr>
          <w:rFonts w:ascii="Aptos" w:hAnsi="Aptos" w:eastAsia="Aptos" w:cs="Aptos"/>
          <w:noProof w:val="0"/>
          <w:color w:val="000000" w:themeColor="text1" w:themeTint="FF" w:themeShade="FF"/>
          <w:sz w:val="24"/>
          <w:szCs w:val="24"/>
          <w:lang w:val="en-AU"/>
        </w:rPr>
        <w:t xml:space="preserve">d in insecure environments </w:t>
      </w:r>
      <w:r w:rsidRPr="283D6D95" w:rsidR="7F44D77F">
        <w:rPr>
          <w:rFonts w:ascii="Aptos" w:hAnsi="Aptos" w:eastAsia="Aptos" w:cs="Aptos"/>
          <w:noProof w:val="0"/>
          <w:color w:val="000000" w:themeColor="text1" w:themeTint="FF" w:themeShade="FF"/>
          <w:sz w:val="24"/>
          <w:szCs w:val="24"/>
          <w:lang w:val="en-AU"/>
        </w:rPr>
        <w:t>where</w:t>
      </w:r>
      <w:r w:rsidRPr="283D6D95" w:rsidR="7F44D77F">
        <w:rPr>
          <w:rFonts w:ascii="Aptos" w:hAnsi="Aptos" w:eastAsia="Aptos" w:cs="Aptos"/>
          <w:noProof w:val="0"/>
          <w:color w:val="000000" w:themeColor="text1" w:themeTint="FF" w:themeShade="FF"/>
          <w:sz w:val="24"/>
          <w:szCs w:val="24"/>
          <w:lang w:val="en-AU"/>
        </w:rPr>
        <w:t xml:space="preserve"> asking community members questions about VAWG in the programming environment might put them at risk – for example, in settings where there is a military presence within a camp, settlement or community.</w:t>
      </w:r>
      <w:r>
        <w:br/>
      </w:r>
    </w:p>
    <w:p w:rsidR="7F44D77F" w:rsidP="283D6D95" w:rsidRDefault="7F44D77F" w14:paraId="28208E62" w14:textId="330BA9D8">
      <w:pPr>
        <w:spacing w:before="0" w:beforeAutospacing="off" w:after="0" w:afterAutospacing="off"/>
        <w:rPr>
          <w:rFonts w:ascii="Aptos" w:hAnsi="Aptos" w:eastAsia="Aptos" w:cs="Aptos"/>
          <w:noProof w:val="0"/>
          <w:color w:val="000000" w:themeColor="text1" w:themeTint="FF" w:themeShade="FF"/>
          <w:sz w:val="24"/>
          <w:szCs w:val="24"/>
          <w:lang w:val="en-US"/>
        </w:rPr>
      </w:pPr>
      <w:r w:rsidRPr="283D6D95" w:rsidR="7F44D77F">
        <w:rPr>
          <w:rFonts w:ascii="Aptos" w:hAnsi="Aptos" w:eastAsia="Aptos" w:cs="Aptos"/>
          <w:b w:val="1"/>
          <w:bCs w:val="1"/>
          <w:noProof w:val="0"/>
          <w:color w:val="000000" w:themeColor="text1" w:themeTint="FF" w:themeShade="FF"/>
          <w:sz w:val="24"/>
          <w:szCs w:val="24"/>
          <w:lang w:val="en-US"/>
        </w:rPr>
        <w:t>GOOD PRACTICE FOR USING THIS TOOL</w:t>
      </w:r>
      <w:r w:rsidRPr="283D6D95" w:rsidR="7F44D77F">
        <w:rPr>
          <w:rFonts w:ascii="Aptos" w:hAnsi="Aptos" w:eastAsia="Aptos" w:cs="Aptos"/>
          <w:noProof w:val="0"/>
          <w:color w:val="000000" w:themeColor="text1" w:themeTint="FF" w:themeShade="FF"/>
          <w:sz w:val="24"/>
          <w:szCs w:val="24"/>
          <w:lang w:val="en-US"/>
        </w:rPr>
        <w:t> </w:t>
      </w:r>
    </w:p>
    <w:p w:rsidR="7F44D77F" w:rsidP="283D6D95" w:rsidRDefault="7F44D77F" w14:paraId="284C848D" w14:textId="3B6BF712">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283D6D95" w:rsidR="7F44D77F">
        <w:rPr>
          <w:rFonts w:ascii="Aptos" w:hAnsi="Aptos" w:eastAsia="Aptos" w:cs="Aptos"/>
          <w:noProof w:val="0"/>
          <w:sz w:val="24"/>
          <w:szCs w:val="24"/>
          <w:lang w:val="en-US"/>
        </w:rPr>
        <w:t xml:space="preserve">If you are new to conducting safety audits, please read and understand UNICEF’s 3-page </w:t>
      </w:r>
      <w:hyperlink r:id="R40866fd820594ca6">
        <w:r w:rsidRPr="283D6D95" w:rsidR="7F44D77F">
          <w:rPr>
            <w:rStyle w:val="Hyperlink"/>
            <w:rFonts w:ascii="Aptos" w:hAnsi="Aptos" w:eastAsia="Aptos" w:cs="Aptos"/>
            <w:b w:val="1"/>
            <w:bCs w:val="1"/>
            <w:strike w:val="0"/>
            <w:dstrike w:val="0"/>
            <w:noProof w:val="0"/>
            <w:sz w:val="24"/>
            <w:szCs w:val="24"/>
            <w:lang w:val="en-US"/>
          </w:rPr>
          <w:t>safety audit “How to Guide</w:t>
        </w:r>
      </w:hyperlink>
      <w:r w:rsidRPr="283D6D95" w:rsidR="7F44D77F">
        <w:rPr>
          <w:rFonts w:ascii="Aptos" w:hAnsi="Aptos" w:eastAsia="Aptos" w:cs="Aptos"/>
          <w:b w:val="1"/>
          <w:bCs w:val="1"/>
          <w:noProof w:val="0"/>
          <w:sz w:val="24"/>
          <w:szCs w:val="24"/>
          <w:lang w:val="en-US"/>
        </w:rPr>
        <w:t xml:space="preserve">” </w:t>
      </w:r>
      <w:r w:rsidRPr="283D6D95" w:rsidR="7F44D77F">
        <w:rPr>
          <w:rFonts w:ascii="Aptos" w:hAnsi="Aptos" w:eastAsia="Aptos" w:cs="Aptos"/>
          <w:noProof w:val="0"/>
          <w:sz w:val="24"/>
          <w:szCs w:val="24"/>
          <w:lang w:val="en-US"/>
        </w:rPr>
        <w:t>before using this tool.</w:t>
      </w:r>
    </w:p>
    <w:p w:rsidR="7F44D77F" w:rsidP="283D6D95" w:rsidRDefault="7F44D77F" w14:paraId="2B8611F4" w14:textId="47C6292B">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283D6D95" w:rsidR="7F44D77F">
        <w:rPr>
          <w:rFonts w:ascii="Aptos" w:hAnsi="Aptos" w:eastAsia="Aptos" w:cs="Aptos"/>
          <w:b w:val="1"/>
          <w:bCs w:val="1"/>
          <w:noProof w:val="0"/>
          <w:sz w:val="24"/>
          <w:szCs w:val="24"/>
          <w:lang w:val="en-US"/>
        </w:rPr>
        <w:t>Select and adapt the questions to your context</w:t>
      </w:r>
      <w:r w:rsidRPr="283D6D95" w:rsidR="7F44D77F">
        <w:rPr>
          <w:rFonts w:ascii="Aptos" w:hAnsi="Aptos" w:eastAsia="Aptos" w:cs="Aptos"/>
          <w:noProof w:val="0"/>
          <w:sz w:val="24"/>
          <w:szCs w:val="24"/>
          <w:lang w:val="en-US"/>
        </w:rPr>
        <w:t>. It is unlikely that ALL questions noted below will be relevant for your context. Equally, some context-specific observations may be missing from the below. Pick, choose, add and/or adapt as needed.</w:t>
      </w:r>
    </w:p>
    <w:p w:rsidR="7F44D77F" w:rsidP="283D6D95" w:rsidRDefault="7F44D77F" w14:paraId="63A101FF" w14:textId="4D3FE1E0">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283D6D95" w:rsidR="7F44D77F">
        <w:rPr>
          <w:rFonts w:ascii="Aptos" w:hAnsi="Aptos" w:eastAsia="Aptos" w:cs="Aptos"/>
          <w:b w:val="1"/>
          <w:bCs w:val="1"/>
          <w:noProof w:val="0"/>
          <w:sz w:val="24"/>
          <w:szCs w:val="24"/>
          <w:lang w:val="en-US"/>
        </w:rPr>
        <w:t>Adapt the template</w:t>
      </w:r>
      <w:r w:rsidRPr="283D6D95" w:rsidR="7F44D77F">
        <w:rPr>
          <w:rFonts w:ascii="Aptos" w:hAnsi="Aptos" w:eastAsia="Aptos" w:cs="Aptos"/>
          <w:noProof w:val="0"/>
          <w:sz w:val="24"/>
          <w:szCs w:val="24"/>
          <w:lang w:val="en-US"/>
        </w:rPr>
        <w:t xml:space="preserve"> as preferred. The table below is purposefully basic to allow for adaptations and modifications; there are many different formats for safety audits.</w:t>
      </w:r>
    </w:p>
    <w:p w:rsidR="7F44D77F" w:rsidP="283D6D95" w:rsidRDefault="7F44D77F" w14:paraId="7619E515" w14:textId="066BF745">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283D6D95" w:rsidR="7F44D77F">
        <w:rPr>
          <w:rFonts w:ascii="Aptos" w:hAnsi="Aptos" w:eastAsia="Aptos" w:cs="Aptos"/>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7F44D77F" w:rsidP="283D6D95" w:rsidRDefault="7F44D77F" w14:paraId="4C2C97C3" w14:textId="6535D438">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283D6D95" w:rsidR="7F44D77F">
        <w:rPr>
          <w:rFonts w:ascii="Aptos" w:hAnsi="Aptos" w:eastAsia="Aptos" w:cs="Aptos"/>
          <w:noProof w:val="0"/>
          <w:color w:val="000000" w:themeColor="text1" w:themeTint="FF" w:themeShade="FF"/>
          <w:sz w:val="24"/>
          <w:szCs w:val="24"/>
          <w:lang w:val="en-AU"/>
        </w:rPr>
        <w:t>Before initiating the safety audit, identify a protocol for safe data storage and sharing, as well for the dissemination of results to minimize any risks to communities, community members and humanitarian service providers.</w:t>
      </w:r>
    </w:p>
    <w:p w:rsidR="7F44D77F" w:rsidP="283D6D95" w:rsidRDefault="7F44D77F" w14:paraId="1E10A0B0" w14:textId="1DA3B83F">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08403B98" w:rsidR="7F44D77F">
        <w:rPr>
          <w:rFonts w:ascii="Aptos" w:hAnsi="Aptos" w:eastAsia="Aptos" w:cs="Aptos"/>
          <w:noProof w:val="0"/>
          <w:color w:val="000000" w:themeColor="text1" w:themeTint="FF" w:themeShade="FF"/>
          <w:sz w:val="24"/>
          <w:szCs w:val="24"/>
          <w:lang w:val="en-AU"/>
        </w:rPr>
        <w:t xml:space="preserve">While the tool below is observational (that is, it does not suggest or require direct consultations with individuals), it is prudent to ensure that data collectors have read and understood </w:t>
      </w:r>
      <w:r w:rsidRPr="08403B98" w:rsidR="7F44D77F">
        <w:rPr>
          <w:rFonts w:ascii="Aptos" w:hAnsi="Aptos" w:eastAsia="Aptos" w:cs="Aptos"/>
          <w:noProof w:val="0"/>
          <w:sz w:val="24"/>
          <w:szCs w:val="24"/>
          <w:lang w:val="en-US"/>
        </w:rPr>
        <w:t>and understood th</w:t>
      </w:r>
      <w:r w:rsidRPr="08403B98" w:rsidR="7F44D77F">
        <w:rPr>
          <w:rFonts w:ascii="Aptos" w:hAnsi="Aptos" w:eastAsia="Aptos" w:cs="Aptos"/>
          <w:noProof w:val="0"/>
          <w:sz w:val="24"/>
          <w:szCs w:val="24"/>
          <w:lang w:val="en-US"/>
        </w:rPr>
        <w:t xml:space="preserve">e </w:t>
      </w:r>
      <w:hyperlink r:id="Rdb349d2874bf424b">
        <w:r w:rsidRPr="08403B98" w:rsidR="7F44D77F">
          <w:rPr>
            <w:rStyle w:val="Hyperlink"/>
            <w:rFonts w:ascii="Aptos" w:hAnsi="Aptos" w:eastAsia="Aptos" w:cs="Aptos"/>
            <w:b w:val="1"/>
            <w:bCs w:val="1"/>
            <w:noProof w:val="0"/>
            <w:sz w:val="24"/>
            <w:szCs w:val="24"/>
            <w:lang w:val="en-US"/>
          </w:rPr>
          <w:t>Tipsheet for non-GBV specialists</w:t>
        </w:r>
        <w:r w:rsidRPr="08403B98" w:rsidR="7F44D77F">
          <w:rPr>
            <w:rStyle w:val="Hyperlink"/>
            <w:rFonts w:ascii="Aptos" w:hAnsi="Aptos" w:eastAsia="Aptos" w:cs="Aptos"/>
            <w:b w:val="1"/>
            <w:bCs w:val="1"/>
            <w:noProof w:val="0"/>
            <w:sz w:val="24"/>
            <w:szCs w:val="24"/>
            <w:lang w:val="en-US"/>
          </w:rPr>
          <w:t xml:space="preserve"> </w:t>
        </w:r>
        <w:r w:rsidRPr="08403B98" w:rsidR="7F44D77F">
          <w:rPr>
            <w:rStyle w:val="Hyperlink"/>
            <w:rFonts w:ascii="Aptos" w:hAnsi="Aptos" w:eastAsia="Aptos" w:cs="Aptos"/>
            <w:b w:val="1"/>
            <w:bCs w:val="1"/>
            <w:noProof w:val="0"/>
            <w:sz w:val="24"/>
            <w:szCs w:val="24"/>
            <w:lang w:val="en-US"/>
          </w:rPr>
          <w:t>on asking questions about safety</w:t>
        </w:r>
      </w:hyperlink>
      <w:r w:rsidRPr="08403B98" w:rsidR="7F44D77F">
        <w:rPr>
          <w:rFonts w:ascii="Aptos" w:hAnsi="Aptos" w:eastAsia="Aptos" w:cs="Aptos"/>
          <w:noProof w:val="0"/>
          <w:sz w:val="24"/>
          <w:szCs w:val="24"/>
          <w:lang w:val="en-US"/>
        </w:rPr>
        <w:t xml:space="preserve">, and that they are trained on </w:t>
      </w:r>
      <w:r w:rsidRPr="08403B98" w:rsidR="7F44D77F">
        <w:rPr>
          <w:rFonts w:ascii="Aptos" w:hAnsi="Aptos" w:eastAsia="Aptos" w:cs="Aptos"/>
          <w:b w:val="1"/>
          <w:bCs w:val="1"/>
          <w:noProof w:val="0"/>
          <w:sz w:val="24"/>
          <w:szCs w:val="24"/>
          <w:lang w:val="en-US"/>
        </w:rPr>
        <w:t xml:space="preserve">safe and appropriate response to GBV disclosures. </w:t>
      </w:r>
      <w:r w:rsidRPr="08403B98" w:rsidR="7F44D77F">
        <w:rPr>
          <w:rFonts w:ascii="Aptos" w:hAnsi="Aptos" w:eastAsia="Aptos" w:cs="Aptos"/>
          <w:noProof w:val="0"/>
          <w:sz w:val="24"/>
          <w:szCs w:val="24"/>
          <w:lang w:val="en-US"/>
        </w:rPr>
        <w:t xml:space="preserve">A training guide on this topic can be found </w:t>
      </w:r>
      <w:hyperlink r:id="Rceafcb747a9d4c58">
        <w:r w:rsidRPr="08403B98" w:rsidR="7F44D77F">
          <w:rPr>
            <w:rStyle w:val="Hyperlink"/>
            <w:rFonts w:ascii="Aptos" w:hAnsi="Aptos" w:eastAsia="Aptos" w:cs="Aptos"/>
            <w:noProof w:val="0"/>
            <w:sz w:val="24"/>
            <w:szCs w:val="24"/>
            <w:lang w:val="en-US"/>
          </w:rPr>
          <w:t>here</w:t>
        </w:r>
      </w:hyperlink>
      <w:r w:rsidRPr="08403B98">
        <w:rPr>
          <w:rStyle w:val="FootnoteReference"/>
          <w:rFonts w:ascii="Aptos" w:hAnsi="Aptos" w:eastAsia="Aptos" w:cs="Aptos"/>
          <w:noProof w:val="0"/>
          <w:sz w:val="24"/>
          <w:szCs w:val="24"/>
          <w:lang w:val="en-US"/>
        </w:rPr>
        <w:footnoteReference w:id="8204"/>
      </w:r>
      <w:r w:rsidRPr="08403B98" w:rsidR="7F44D77F">
        <w:rPr>
          <w:rFonts w:ascii="Aptos" w:hAnsi="Aptos" w:eastAsia="Aptos" w:cs="Aptos"/>
          <w:noProof w:val="0"/>
          <w:sz w:val="24"/>
          <w:szCs w:val="24"/>
          <w:lang w:val="en-US"/>
        </w:rPr>
        <w:t>.</w:t>
      </w:r>
    </w:p>
    <w:p w:rsidR="283D6D95" w:rsidRDefault="283D6D95" w14:paraId="5FF30F3E" w14:textId="06CB9EFB">
      <w:r>
        <w:br w:type="page"/>
      </w:r>
    </w:p>
    <w:p w:rsidR="3150849C" w:rsidP="283D6D95" w:rsidRDefault="3150849C" w14:paraId="0A12DFF1" w14:textId="0F5C579C">
      <w:pPr>
        <w:pStyle w:val="Normal"/>
        <w:spacing w:before="0" w:beforeAutospacing="off" w:after="0" w:afterAutospacing="off"/>
        <w:ind w:right="0"/>
        <w:rPr>
          <w:rFonts w:ascii="Aptos" w:hAnsi="Aptos" w:eastAsia="Aptos" w:cs="Aptos"/>
          <w:b w:val="1"/>
          <w:bCs w:val="1"/>
          <w:noProof w:val="0"/>
          <w:sz w:val="24"/>
          <w:szCs w:val="24"/>
          <w:lang w:val="en-US"/>
        </w:rPr>
      </w:pPr>
      <w:r w:rsidRPr="283D6D95" w:rsidR="3150849C">
        <w:rPr>
          <w:rFonts w:ascii="Aptos" w:hAnsi="Aptos" w:eastAsia="Aptos" w:cs="Aptos"/>
          <w:b w:val="1"/>
          <w:bCs w:val="1"/>
          <w:noProof w:val="0"/>
          <w:sz w:val="24"/>
          <w:szCs w:val="24"/>
          <w:lang w:val="en-US"/>
        </w:rPr>
        <w:t>SHELTER &amp; NFI SAFETY AUDIT TOOL</w:t>
      </w:r>
    </w:p>
    <w:p w:rsidR="283D6D95" w:rsidP="283D6D95" w:rsidRDefault="283D6D95" w14:paraId="3001F672" w14:textId="78B611E6">
      <w:pPr>
        <w:spacing w:after="0" w:line="266" w:lineRule="auto"/>
        <w:rPr>
          <w:rFonts w:ascii="Aptos" w:hAnsi="Aptos" w:eastAsia="Aptos" w:cs="Aptos"/>
          <w:b w:val="1"/>
          <w:bCs w:val="1"/>
          <w:noProof w:val="0"/>
          <w:sz w:val="24"/>
          <w:szCs w:val="24"/>
          <w:lang w:val="en-US"/>
        </w:rPr>
      </w:pPr>
    </w:p>
    <w:tbl>
      <w:tblPr>
        <w:tblStyle w:val="TableGrid"/>
        <w:tblW w:w="9350" w:type="dxa"/>
        <w:tblLook w:val="04A0" w:firstRow="1" w:lastRow="0" w:firstColumn="1" w:lastColumn="0" w:noHBand="0" w:noVBand="1"/>
      </w:tblPr>
      <w:tblGrid>
        <w:gridCol w:w="4144"/>
        <w:gridCol w:w="765"/>
        <w:gridCol w:w="630"/>
        <w:gridCol w:w="3811"/>
      </w:tblGrid>
      <w:tr w:rsidR="00551B00" w:rsidTr="08403B98" w14:paraId="71A5D249" w14:textId="77777777">
        <w:tc>
          <w:tcPr>
            <w:tcW w:w="4144" w:type="dxa"/>
            <w:shd w:val="clear" w:color="auto" w:fill="E97132" w:themeFill="accent2"/>
            <w:tcMar/>
          </w:tcPr>
          <w:p w:rsidRPr="005B79F6" w:rsidR="00551B00" w:rsidP="08403B98" w:rsidRDefault="00551B00" w14:paraId="4454E34A" w14:textId="77777777">
            <w:pPr>
              <w:rPr>
                <w:b w:val="1"/>
                <w:bCs w:val="1"/>
                <w:color w:val="FFFFFF" w:themeColor="background1" w:themeTint="FF" w:themeShade="FF"/>
                <w:sz w:val="28"/>
                <w:szCs w:val="28"/>
              </w:rPr>
            </w:pPr>
            <w:r w:rsidRPr="08403B98" w:rsidR="697160C4">
              <w:rPr>
                <w:b w:val="1"/>
                <w:bCs w:val="1"/>
                <w:color w:val="FFFFFF" w:themeColor="background1" w:themeTint="FF" w:themeShade="FF"/>
                <w:sz w:val="28"/>
                <w:szCs w:val="28"/>
              </w:rPr>
              <w:t>Observation/Question</w:t>
            </w:r>
          </w:p>
        </w:tc>
        <w:tc>
          <w:tcPr>
            <w:tcW w:w="765" w:type="dxa"/>
            <w:shd w:val="clear" w:color="auto" w:fill="E97132" w:themeFill="accent2"/>
            <w:tcMar/>
          </w:tcPr>
          <w:p w:rsidRPr="005B79F6" w:rsidR="00551B00" w:rsidP="08403B98" w:rsidRDefault="00551B00" w14:paraId="07A05EE2" w14:textId="77777777">
            <w:pPr>
              <w:rPr>
                <w:b w:val="1"/>
                <w:bCs w:val="1"/>
                <w:color w:val="FFFFFF" w:themeColor="background1" w:themeTint="FF" w:themeShade="FF"/>
                <w:sz w:val="28"/>
                <w:szCs w:val="28"/>
              </w:rPr>
            </w:pPr>
            <w:r w:rsidRPr="08403B98" w:rsidR="697160C4">
              <w:rPr>
                <w:b w:val="1"/>
                <w:bCs w:val="1"/>
                <w:color w:val="FFFFFF" w:themeColor="background1" w:themeTint="FF" w:themeShade="FF"/>
                <w:sz w:val="28"/>
                <w:szCs w:val="28"/>
              </w:rPr>
              <w:t>Yes</w:t>
            </w:r>
          </w:p>
        </w:tc>
        <w:tc>
          <w:tcPr>
            <w:tcW w:w="630" w:type="dxa"/>
            <w:shd w:val="clear" w:color="auto" w:fill="E97132" w:themeFill="accent2"/>
            <w:tcMar/>
          </w:tcPr>
          <w:p w:rsidRPr="005B79F6" w:rsidR="00551B00" w:rsidP="08403B98" w:rsidRDefault="00551B00" w14:paraId="2E64C524" w14:textId="77777777">
            <w:pPr>
              <w:rPr>
                <w:b w:val="1"/>
                <w:bCs w:val="1"/>
                <w:color w:val="FFFFFF" w:themeColor="background1" w:themeTint="FF" w:themeShade="FF"/>
                <w:sz w:val="28"/>
                <w:szCs w:val="28"/>
              </w:rPr>
            </w:pPr>
            <w:r w:rsidRPr="08403B98" w:rsidR="697160C4">
              <w:rPr>
                <w:b w:val="1"/>
                <w:bCs w:val="1"/>
                <w:color w:val="FFFFFF" w:themeColor="background1" w:themeTint="FF" w:themeShade="FF"/>
                <w:sz w:val="28"/>
                <w:szCs w:val="28"/>
              </w:rPr>
              <w:t>No</w:t>
            </w:r>
          </w:p>
        </w:tc>
        <w:tc>
          <w:tcPr>
            <w:tcW w:w="3811" w:type="dxa"/>
            <w:shd w:val="clear" w:color="auto" w:fill="E97132" w:themeFill="accent2"/>
            <w:tcMar/>
          </w:tcPr>
          <w:p w:rsidRPr="005B79F6" w:rsidR="00551B00" w:rsidP="08403B98" w:rsidRDefault="00551B00" w14:paraId="6AEBC307" w14:textId="77777777">
            <w:pPr>
              <w:rPr>
                <w:b w:val="1"/>
                <w:bCs w:val="1"/>
                <w:color w:val="FFFFFF" w:themeColor="background1" w:themeTint="FF" w:themeShade="FF"/>
                <w:sz w:val="28"/>
                <w:szCs w:val="28"/>
              </w:rPr>
            </w:pPr>
            <w:r w:rsidRPr="08403B98" w:rsidR="697160C4">
              <w:rPr>
                <w:b w:val="1"/>
                <w:bCs w:val="1"/>
                <w:color w:val="FFFFFF" w:themeColor="background1" w:themeTint="FF" w:themeShade="FF"/>
                <w:sz w:val="28"/>
                <w:szCs w:val="28"/>
              </w:rPr>
              <w:t>Comment/notes</w:t>
            </w:r>
          </w:p>
        </w:tc>
      </w:tr>
      <w:tr w:rsidR="00551B00" w:rsidTr="08403B98" w14:paraId="52A30063" w14:textId="77777777">
        <w:tc>
          <w:tcPr>
            <w:tcW w:w="9350" w:type="dxa"/>
            <w:gridSpan w:val="4"/>
            <w:shd w:val="clear" w:color="auto" w:fill="FAE2D5" w:themeFill="accent2" w:themeFillTint="33"/>
            <w:tcMar/>
          </w:tcPr>
          <w:p w:rsidRPr="005B79F6" w:rsidR="00551B00" w:rsidP="00095B69" w:rsidRDefault="00551B00" w14:paraId="01812632" w14:textId="0DF30746">
            <w:pPr>
              <w:rPr>
                <w:b/>
                <w:bCs/>
              </w:rPr>
            </w:pPr>
            <w:r>
              <w:rPr>
                <w:b/>
                <w:bCs/>
              </w:rPr>
              <w:t>Settlement layout and design</w:t>
            </w:r>
          </w:p>
        </w:tc>
      </w:tr>
      <w:tr w:rsidR="00551B00" w:rsidTr="08403B98" w14:paraId="7702A7A7" w14:textId="77777777">
        <w:tc>
          <w:tcPr>
            <w:tcW w:w="4144" w:type="dxa"/>
            <w:tcMar/>
          </w:tcPr>
          <w:p w:rsidRPr="00EB5B0F" w:rsidR="00551B00" w:rsidP="00095B69" w:rsidRDefault="00551B00" w14:paraId="1FA53FE4" w14:textId="77777777">
            <w:pPr>
              <w:rPr>
                <w:sz w:val="22"/>
                <w:szCs w:val="22"/>
              </w:rPr>
            </w:pPr>
            <w:r w:rsidRPr="00EB5B0F">
              <w:rPr>
                <w:sz w:val="22"/>
                <w:szCs w:val="22"/>
              </w:rPr>
              <w:t>Is there a protective physical structure (fence, wall, etc.) around the site?</w:t>
            </w:r>
          </w:p>
        </w:tc>
        <w:tc>
          <w:tcPr>
            <w:tcW w:w="765" w:type="dxa"/>
            <w:tcMar/>
          </w:tcPr>
          <w:p w:rsidRPr="00EB5B0F" w:rsidR="00551B00" w:rsidP="00095B69" w:rsidRDefault="00551B00" w14:paraId="2190D516" w14:textId="77777777">
            <w:pPr>
              <w:rPr>
                <w:sz w:val="22"/>
                <w:szCs w:val="22"/>
              </w:rPr>
            </w:pPr>
          </w:p>
        </w:tc>
        <w:tc>
          <w:tcPr>
            <w:tcW w:w="630" w:type="dxa"/>
            <w:tcMar/>
          </w:tcPr>
          <w:p w:rsidRPr="00EB5B0F" w:rsidR="00551B00" w:rsidP="00095B69" w:rsidRDefault="00551B00" w14:paraId="4C4B7CDE" w14:textId="77777777">
            <w:pPr>
              <w:rPr>
                <w:sz w:val="22"/>
                <w:szCs w:val="22"/>
              </w:rPr>
            </w:pPr>
          </w:p>
        </w:tc>
        <w:tc>
          <w:tcPr>
            <w:tcW w:w="3811" w:type="dxa"/>
            <w:tcMar/>
          </w:tcPr>
          <w:p w:rsidRPr="00EB5B0F" w:rsidR="00551B00" w:rsidP="00095B69" w:rsidRDefault="00551B00" w14:paraId="07021C41" w14:textId="77777777">
            <w:pPr>
              <w:rPr>
                <w:sz w:val="22"/>
                <w:szCs w:val="22"/>
              </w:rPr>
            </w:pPr>
          </w:p>
        </w:tc>
      </w:tr>
      <w:tr w:rsidR="00551B00" w:rsidTr="08403B98" w14:paraId="7665714E" w14:textId="77777777">
        <w:tc>
          <w:tcPr>
            <w:tcW w:w="4144" w:type="dxa"/>
            <w:tcMar/>
          </w:tcPr>
          <w:p w:rsidRPr="00EB5B0F" w:rsidR="00551B00" w:rsidP="00095B69" w:rsidRDefault="00551B00" w14:paraId="3BE69ACB" w14:textId="77777777">
            <w:pPr>
              <w:rPr>
                <w:sz w:val="22"/>
                <w:szCs w:val="22"/>
              </w:rPr>
            </w:pPr>
            <w:r w:rsidRPr="00EB5B0F">
              <w:rPr>
                <w:sz w:val="22"/>
                <w:szCs w:val="22"/>
              </w:rPr>
              <w:t>Is there space to easily walk between shelters and other structures?</w:t>
            </w:r>
          </w:p>
        </w:tc>
        <w:tc>
          <w:tcPr>
            <w:tcW w:w="765" w:type="dxa"/>
            <w:tcMar/>
          </w:tcPr>
          <w:p w:rsidRPr="00EB5B0F" w:rsidR="00551B00" w:rsidP="00095B69" w:rsidRDefault="00551B00" w14:paraId="18CD3198" w14:textId="77777777">
            <w:pPr>
              <w:rPr>
                <w:sz w:val="22"/>
                <w:szCs w:val="22"/>
              </w:rPr>
            </w:pPr>
          </w:p>
        </w:tc>
        <w:tc>
          <w:tcPr>
            <w:tcW w:w="630" w:type="dxa"/>
            <w:tcMar/>
          </w:tcPr>
          <w:p w:rsidRPr="00EB5B0F" w:rsidR="00551B00" w:rsidP="00095B69" w:rsidRDefault="00551B00" w14:paraId="12F45183" w14:textId="77777777">
            <w:pPr>
              <w:rPr>
                <w:sz w:val="22"/>
                <w:szCs w:val="22"/>
              </w:rPr>
            </w:pPr>
          </w:p>
        </w:tc>
        <w:tc>
          <w:tcPr>
            <w:tcW w:w="3811" w:type="dxa"/>
            <w:tcMar/>
          </w:tcPr>
          <w:p w:rsidRPr="00EB5B0F" w:rsidR="00551B00" w:rsidP="00095B69" w:rsidRDefault="00551B00" w14:paraId="41E7D865" w14:textId="77777777">
            <w:pPr>
              <w:rPr>
                <w:sz w:val="22"/>
                <w:szCs w:val="22"/>
              </w:rPr>
            </w:pPr>
          </w:p>
        </w:tc>
      </w:tr>
      <w:tr w:rsidR="00551B00" w:rsidTr="08403B98" w14:paraId="116BCA24" w14:textId="77777777">
        <w:tc>
          <w:tcPr>
            <w:tcW w:w="4144" w:type="dxa"/>
            <w:tcMar/>
          </w:tcPr>
          <w:p w:rsidRPr="00EB5B0F" w:rsidR="00551B00" w:rsidP="00095B69" w:rsidRDefault="00551B00" w14:paraId="2CB8BCA4" w14:textId="77777777">
            <w:pPr>
              <w:rPr>
                <w:sz w:val="22"/>
                <w:szCs w:val="22"/>
              </w:rPr>
            </w:pPr>
            <w:r w:rsidRPr="00EB5B0F">
              <w:rPr>
                <w:sz w:val="22"/>
                <w:szCs w:val="22"/>
              </w:rPr>
              <w:t>Is there any public lighting in the site/community (</w:t>
            </w:r>
            <w:proofErr w:type="gramStart"/>
            <w:r w:rsidRPr="00EB5B0F">
              <w:rPr>
                <w:sz w:val="22"/>
                <w:szCs w:val="22"/>
              </w:rPr>
              <w:t>street lights</w:t>
            </w:r>
            <w:proofErr w:type="gramEnd"/>
            <w:r w:rsidRPr="00EB5B0F">
              <w:rPr>
                <w:sz w:val="22"/>
                <w:szCs w:val="22"/>
              </w:rPr>
              <w:t xml:space="preserve">, etc. – either solar or electric)? </w:t>
            </w:r>
            <w:r w:rsidRPr="00EB5B0F">
              <w:rPr>
                <w:i/>
                <w:iCs/>
                <w:sz w:val="22"/>
                <w:szCs w:val="22"/>
              </w:rPr>
              <w:t>(If, “no”, skip the next question)</w:t>
            </w:r>
          </w:p>
        </w:tc>
        <w:tc>
          <w:tcPr>
            <w:tcW w:w="765" w:type="dxa"/>
            <w:tcMar/>
          </w:tcPr>
          <w:p w:rsidRPr="00EB5B0F" w:rsidR="00551B00" w:rsidP="00095B69" w:rsidRDefault="00551B00" w14:paraId="4629AA6E" w14:textId="77777777">
            <w:pPr>
              <w:rPr>
                <w:sz w:val="22"/>
                <w:szCs w:val="22"/>
              </w:rPr>
            </w:pPr>
          </w:p>
        </w:tc>
        <w:tc>
          <w:tcPr>
            <w:tcW w:w="630" w:type="dxa"/>
            <w:tcMar/>
          </w:tcPr>
          <w:p w:rsidRPr="00EB5B0F" w:rsidR="00551B00" w:rsidP="00095B69" w:rsidRDefault="00551B00" w14:paraId="477C2968" w14:textId="77777777">
            <w:pPr>
              <w:rPr>
                <w:sz w:val="22"/>
                <w:szCs w:val="22"/>
              </w:rPr>
            </w:pPr>
          </w:p>
        </w:tc>
        <w:tc>
          <w:tcPr>
            <w:tcW w:w="3811" w:type="dxa"/>
            <w:tcMar/>
          </w:tcPr>
          <w:p w:rsidRPr="00EB5B0F" w:rsidR="00551B00" w:rsidP="00095B69" w:rsidRDefault="00551B00" w14:paraId="014D66C2" w14:textId="77777777">
            <w:pPr>
              <w:rPr>
                <w:sz w:val="22"/>
                <w:szCs w:val="22"/>
              </w:rPr>
            </w:pPr>
          </w:p>
        </w:tc>
      </w:tr>
      <w:tr w:rsidR="00551B00" w:rsidTr="08403B98" w14:paraId="16BF6D39" w14:textId="77777777">
        <w:tc>
          <w:tcPr>
            <w:tcW w:w="4144" w:type="dxa"/>
            <w:tcMar/>
          </w:tcPr>
          <w:p w:rsidRPr="00EB5B0F" w:rsidR="00551B00" w:rsidP="00095B69" w:rsidRDefault="00551B00" w14:paraId="6F367A41" w14:textId="77777777">
            <w:pPr>
              <w:ind w:left="425"/>
              <w:rPr>
                <w:sz w:val="22"/>
                <w:szCs w:val="22"/>
              </w:rPr>
            </w:pPr>
            <w:r w:rsidRPr="00EB5B0F">
              <w:rPr>
                <w:sz w:val="22"/>
                <w:szCs w:val="22"/>
              </w:rPr>
              <w:t>Is there sufficient lighting in the site/community?</w:t>
            </w:r>
          </w:p>
        </w:tc>
        <w:tc>
          <w:tcPr>
            <w:tcW w:w="765" w:type="dxa"/>
            <w:tcMar/>
          </w:tcPr>
          <w:p w:rsidRPr="00EB5B0F" w:rsidR="00551B00" w:rsidP="00095B69" w:rsidRDefault="00551B00" w14:paraId="17FCF748" w14:textId="77777777">
            <w:pPr>
              <w:rPr>
                <w:sz w:val="22"/>
                <w:szCs w:val="22"/>
              </w:rPr>
            </w:pPr>
          </w:p>
        </w:tc>
        <w:tc>
          <w:tcPr>
            <w:tcW w:w="630" w:type="dxa"/>
            <w:tcMar/>
          </w:tcPr>
          <w:p w:rsidRPr="00EB5B0F" w:rsidR="00551B00" w:rsidP="00095B69" w:rsidRDefault="00551B00" w14:paraId="5EA730FD" w14:textId="77777777">
            <w:pPr>
              <w:rPr>
                <w:sz w:val="22"/>
                <w:szCs w:val="22"/>
              </w:rPr>
            </w:pPr>
          </w:p>
        </w:tc>
        <w:tc>
          <w:tcPr>
            <w:tcW w:w="3811" w:type="dxa"/>
            <w:tcMar/>
          </w:tcPr>
          <w:p w:rsidRPr="00EB5B0F" w:rsidR="00551B00" w:rsidP="00095B69" w:rsidRDefault="00551B00" w14:paraId="4F0F3DB7" w14:textId="77777777">
            <w:pPr>
              <w:rPr>
                <w:sz w:val="22"/>
                <w:szCs w:val="22"/>
              </w:rPr>
            </w:pPr>
          </w:p>
        </w:tc>
      </w:tr>
      <w:tr w:rsidR="00551B00" w:rsidTr="08403B98" w14:paraId="12E2EA8B" w14:textId="77777777">
        <w:tc>
          <w:tcPr>
            <w:tcW w:w="4144" w:type="dxa"/>
            <w:tcMar/>
          </w:tcPr>
          <w:p w:rsidRPr="00DE16D6" w:rsidR="00551B00" w:rsidP="00095B69" w:rsidRDefault="00551B00" w14:paraId="48CDF215" w14:textId="77777777">
            <w:pPr>
              <w:ind w:left="425"/>
              <w:rPr>
                <w:rFonts w:ascii="Aptos" w:hAnsi="Aptos"/>
                <w:sz w:val="22"/>
                <w:szCs w:val="22"/>
              </w:rPr>
            </w:pPr>
            <w:r w:rsidRPr="00DE16D6">
              <w:rPr>
                <w:rFonts w:ascii="Aptos" w:hAnsi="Aptos" w:cs="Arial"/>
                <w:color w:val="000000" w:themeColor="text1"/>
                <w:sz w:val="22"/>
                <w:szCs w:val="22"/>
              </w:rPr>
              <w:t>Are there any areas in the site/community where lighting is needed but not available?</w:t>
            </w:r>
          </w:p>
        </w:tc>
        <w:tc>
          <w:tcPr>
            <w:tcW w:w="765" w:type="dxa"/>
            <w:tcMar/>
          </w:tcPr>
          <w:p w:rsidRPr="00EB5B0F" w:rsidR="00551B00" w:rsidP="00095B69" w:rsidRDefault="00551B00" w14:paraId="1FCCE952" w14:textId="77777777">
            <w:pPr>
              <w:rPr>
                <w:sz w:val="22"/>
                <w:szCs w:val="22"/>
              </w:rPr>
            </w:pPr>
          </w:p>
        </w:tc>
        <w:tc>
          <w:tcPr>
            <w:tcW w:w="630" w:type="dxa"/>
            <w:tcMar/>
          </w:tcPr>
          <w:p w:rsidRPr="00EB5B0F" w:rsidR="00551B00" w:rsidP="00095B69" w:rsidRDefault="00551B00" w14:paraId="131FB287" w14:textId="77777777">
            <w:pPr>
              <w:rPr>
                <w:sz w:val="22"/>
                <w:szCs w:val="22"/>
              </w:rPr>
            </w:pPr>
          </w:p>
        </w:tc>
        <w:tc>
          <w:tcPr>
            <w:tcW w:w="3811" w:type="dxa"/>
            <w:tcMar/>
          </w:tcPr>
          <w:p w:rsidRPr="00EB5B0F" w:rsidR="00551B00" w:rsidP="00095B69" w:rsidRDefault="00551B00" w14:paraId="4210A050" w14:textId="77777777">
            <w:pPr>
              <w:rPr>
                <w:sz w:val="22"/>
                <w:szCs w:val="22"/>
              </w:rPr>
            </w:pPr>
          </w:p>
        </w:tc>
      </w:tr>
      <w:tr w:rsidR="00551B00" w:rsidTr="08403B98" w14:paraId="54E50D4C" w14:textId="77777777">
        <w:tc>
          <w:tcPr>
            <w:tcW w:w="4144" w:type="dxa"/>
            <w:tcMar/>
          </w:tcPr>
          <w:p w:rsidRPr="00EB5B0F" w:rsidR="00551B00" w:rsidP="00095B69" w:rsidRDefault="00551B00" w14:paraId="264C82EE" w14:textId="77777777">
            <w:pPr>
              <w:rPr>
                <w:sz w:val="22"/>
                <w:szCs w:val="22"/>
              </w:rPr>
            </w:pPr>
            <w:r w:rsidRPr="00EB5B0F">
              <w:rPr>
                <w:sz w:val="22"/>
                <w:szCs w:val="22"/>
              </w:rPr>
              <w:t>Is there a designated space where women and girls can gather to socialize, learn new skills and support one another (women’s cente</w:t>
            </w:r>
            <w:r>
              <w:rPr>
                <w:sz w:val="22"/>
                <w:szCs w:val="22"/>
              </w:rPr>
              <w:t>r</w:t>
            </w:r>
            <w:r w:rsidRPr="00EB5B0F">
              <w:rPr>
                <w:sz w:val="22"/>
                <w:szCs w:val="22"/>
              </w:rPr>
              <w:t>, women and girls’ safe space, etc.)?</w:t>
            </w:r>
          </w:p>
        </w:tc>
        <w:tc>
          <w:tcPr>
            <w:tcW w:w="765" w:type="dxa"/>
            <w:tcMar/>
          </w:tcPr>
          <w:p w:rsidRPr="00EB5B0F" w:rsidR="00551B00" w:rsidP="00095B69" w:rsidRDefault="00551B00" w14:paraId="6047B349" w14:textId="77777777">
            <w:pPr>
              <w:rPr>
                <w:sz w:val="22"/>
                <w:szCs w:val="22"/>
              </w:rPr>
            </w:pPr>
          </w:p>
        </w:tc>
        <w:tc>
          <w:tcPr>
            <w:tcW w:w="630" w:type="dxa"/>
            <w:tcMar/>
          </w:tcPr>
          <w:p w:rsidRPr="00EB5B0F" w:rsidR="00551B00" w:rsidP="00095B69" w:rsidRDefault="00551B00" w14:paraId="39B5D4A8" w14:textId="77777777">
            <w:pPr>
              <w:rPr>
                <w:sz w:val="22"/>
                <w:szCs w:val="22"/>
              </w:rPr>
            </w:pPr>
          </w:p>
        </w:tc>
        <w:tc>
          <w:tcPr>
            <w:tcW w:w="3811" w:type="dxa"/>
            <w:tcMar/>
          </w:tcPr>
          <w:p w:rsidRPr="00EB5B0F" w:rsidR="00551B00" w:rsidP="00095B69" w:rsidRDefault="00551B00" w14:paraId="0FAC0268" w14:textId="77777777">
            <w:pPr>
              <w:rPr>
                <w:sz w:val="22"/>
                <w:szCs w:val="22"/>
              </w:rPr>
            </w:pPr>
          </w:p>
        </w:tc>
      </w:tr>
      <w:tr w:rsidR="00551B00" w:rsidTr="08403B98" w14:paraId="706DF776" w14:textId="77777777">
        <w:tc>
          <w:tcPr>
            <w:tcW w:w="4144" w:type="dxa"/>
            <w:tcMar/>
          </w:tcPr>
          <w:p w:rsidRPr="00EB5B0F" w:rsidR="00551B00" w:rsidP="00095B69" w:rsidRDefault="00551B00" w14:paraId="723BFB51" w14:textId="77777777">
            <w:pPr>
              <w:rPr>
                <w:sz w:val="22"/>
                <w:szCs w:val="22"/>
              </w:rPr>
            </w:pPr>
            <w:r w:rsidRPr="00EB5B0F">
              <w:rPr>
                <w:sz w:val="22"/>
                <w:szCs w:val="22"/>
              </w:rPr>
              <w:t>Are vulnerable households located in safe locations in the site (</w:t>
            </w:r>
            <w:proofErr w:type="spellStart"/>
            <w:r w:rsidRPr="00EB5B0F">
              <w:rPr>
                <w:sz w:val="22"/>
                <w:szCs w:val="22"/>
              </w:rPr>
              <w:t>eg.</w:t>
            </w:r>
            <w:proofErr w:type="spellEnd"/>
            <w:r w:rsidRPr="00EB5B0F">
              <w:rPr>
                <w:sz w:val="22"/>
                <w:szCs w:val="22"/>
              </w:rPr>
              <w:t xml:space="preserve"> not isolated/exposed, close to services)?</w:t>
            </w:r>
          </w:p>
        </w:tc>
        <w:tc>
          <w:tcPr>
            <w:tcW w:w="765" w:type="dxa"/>
            <w:tcMar/>
          </w:tcPr>
          <w:p w:rsidRPr="00EB5B0F" w:rsidR="00551B00" w:rsidP="00095B69" w:rsidRDefault="00551B00" w14:paraId="0225430C" w14:textId="77777777">
            <w:pPr>
              <w:rPr>
                <w:sz w:val="22"/>
                <w:szCs w:val="22"/>
              </w:rPr>
            </w:pPr>
          </w:p>
        </w:tc>
        <w:tc>
          <w:tcPr>
            <w:tcW w:w="630" w:type="dxa"/>
            <w:tcMar/>
          </w:tcPr>
          <w:p w:rsidRPr="00EB5B0F" w:rsidR="00551B00" w:rsidP="00095B69" w:rsidRDefault="00551B00" w14:paraId="6A89D722" w14:textId="77777777">
            <w:pPr>
              <w:rPr>
                <w:sz w:val="22"/>
                <w:szCs w:val="22"/>
              </w:rPr>
            </w:pPr>
          </w:p>
        </w:tc>
        <w:tc>
          <w:tcPr>
            <w:tcW w:w="3811" w:type="dxa"/>
            <w:tcMar/>
          </w:tcPr>
          <w:p w:rsidRPr="00EB5B0F" w:rsidR="00551B00" w:rsidP="00095B69" w:rsidRDefault="00551B00" w14:paraId="450F20E6" w14:textId="77777777">
            <w:pPr>
              <w:rPr>
                <w:sz w:val="22"/>
                <w:szCs w:val="22"/>
              </w:rPr>
            </w:pPr>
          </w:p>
        </w:tc>
      </w:tr>
      <w:tr w:rsidR="00551B00" w:rsidTr="08403B98" w14:paraId="53B81722" w14:textId="77777777">
        <w:tc>
          <w:tcPr>
            <w:tcW w:w="4144" w:type="dxa"/>
            <w:tcMar/>
          </w:tcPr>
          <w:p w:rsidRPr="00EB5B0F" w:rsidR="00551B00" w:rsidP="00095B69" w:rsidRDefault="00551B00" w14:paraId="45BB56E3" w14:textId="77777777">
            <w:pPr>
              <w:rPr>
                <w:sz w:val="22"/>
                <w:szCs w:val="22"/>
              </w:rPr>
            </w:pPr>
            <w:r w:rsidRPr="00EB5B0F">
              <w:rPr>
                <w:sz w:val="22"/>
                <w:szCs w:val="22"/>
              </w:rPr>
              <w:t>Any additional comments/observations related to the general layout of the site?</w:t>
            </w:r>
          </w:p>
        </w:tc>
        <w:tc>
          <w:tcPr>
            <w:tcW w:w="765" w:type="dxa"/>
            <w:tcMar/>
          </w:tcPr>
          <w:p w:rsidRPr="00EB5B0F" w:rsidR="00551B00" w:rsidP="00095B69" w:rsidRDefault="00551B00" w14:paraId="3F012765" w14:textId="77777777">
            <w:pPr>
              <w:rPr>
                <w:sz w:val="22"/>
                <w:szCs w:val="22"/>
              </w:rPr>
            </w:pPr>
          </w:p>
        </w:tc>
        <w:tc>
          <w:tcPr>
            <w:tcW w:w="630" w:type="dxa"/>
            <w:tcMar/>
          </w:tcPr>
          <w:p w:rsidRPr="00EB5B0F" w:rsidR="00551B00" w:rsidP="00095B69" w:rsidRDefault="00551B00" w14:paraId="2A511ADF" w14:textId="77777777">
            <w:pPr>
              <w:rPr>
                <w:sz w:val="22"/>
                <w:szCs w:val="22"/>
              </w:rPr>
            </w:pPr>
          </w:p>
        </w:tc>
        <w:tc>
          <w:tcPr>
            <w:tcW w:w="3811" w:type="dxa"/>
            <w:tcMar/>
          </w:tcPr>
          <w:p w:rsidRPr="00EB5B0F" w:rsidR="00551B00" w:rsidP="00095B69" w:rsidRDefault="00551B00" w14:paraId="048093F0" w14:textId="77777777">
            <w:pPr>
              <w:rPr>
                <w:sz w:val="22"/>
                <w:szCs w:val="22"/>
              </w:rPr>
            </w:pPr>
          </w:p>
        </w:tc>
      </w:tr>
      <w:tr w:rsidR="283D6D95" w:rsidTr="08403B98" w14:paraId="79B4DFB3">
        <w:trPr>
          <w:trHeight w:val="300"/>
        </w:trPr>
        <w:tc>
          <w:tcPr>
            <w:tcW w:w="4144" w:type="dxa"/>
            <w:tcMar/>
          </w:tcPr>
          <w:p w:rsidR="283D6D95" w:rsidP="283D6D95" w:rsidRDefault="283D6D95" w14:paraId="4063E714" w14:textId="2046D6F2">
            <w:pPr>
              <w:pStyle w:val="Normal"/>
              <w:rPr>
                <w:sz w:val="22"/>
                <w:szCs w:val="22"/>
              </w:rPr>
            </w:pPr>
          </w:p>
        </w:tc>
        <w:tc>
          <w:tcPr>
            <w:tcW w:w="765" w:type="dxa"/>
            <w:tcMar/>
          </w:tcPr>
          <w:p w:rsidR="283D6D95" w:rsidP="283D6D95" w:rsidRDefault="283D6D95" w14:paraId="3F998ABF" w14:textId="46CF3134">
            <w:pPr>
              <w:pStyle w:val="Normal"/>
              <w:rPr>
                <w:sz w:val="22"/>
                <w:szCs w:val="22"/>
              </w:rPr>
            </w:pPr>
          </w:p>
        </w:tc>
        <w:tc>
          <w:tcPr>
            <w:tcW w:w="630" w:type="dxa"/>
            <w:tcMar/>
          </w:tcPr>
          <w:p w:rsidR="283D6D95" w:rsidP="283D6D95" w:rsidRDefault="283D6D95" w14:paraId="0CFC5DB3" w14:textId="18FE33D7">
            <w:pPr>
              <w:pStyle w:val="Normal"/>
              <w:rPr>
                <w:sz w:val="22"/>
                <w:szCs w:val="22"/>
              </w:rPr>
            </w:pPr>
          </w:p>
        </w:tc>
        <w:tc>
          <w:tcPr>
            <w:tcW w:w="3811" w:type="dxa"/>
            <w:tcMar/>
          </w:tcPr>
          <w:p w:rsidR="283D6D95" w:rsidP="283D6D95" w:rsidRDefault="283D6D95" w14:paraId="37BA5255" w14:textId="453CA937">
            <w:pPr>
              <w:pStyle w:val="Normal"/>
              <w:rPr>
                <w:sz w:val="22"/>
                <w:szCs w:val="22"/>
              </w:rPr>
            </w:pPr>
          </w:p>
        </w:tc>
      </w:tr>
      <w:tr w:rsidR="00551B00" w:rsidTr="08403B98" w14:paraId="04BAABB2" w14:textId="77777777">
        <w:tc>
          <w:tcPr>
            <w:tcW w:w="9350" w:type="dxa"/>
            <w:gridSpan w:val="4"/>
            <w:shd w:val="clear" w:color="auto" w:fill="FAE2D5" w:themeFill="accent2" w:themeFillTint="33"/>
            <w:tcMar/>
          </w:tcPr>
          <w:p w:rsidRPr="00551B00" w:rsidR="00551B00" w:rsidP="00095B69" w:rsidRDefault="00551B00" w14:paraId="5416AB69" w14:textId="0BDC154E">
            <w:pPr>
              <w:rPr>
                <w:b/>
                <w:bCs/>
              </w:rPr>
            </w:pPr>
            <w:r>
              <w:rPr>
                <w:b/>
                <w:bCs/>
              </w:rPr>
              <w:t>Individual/household shelters</w:t>
            </w:r>
          </w:p>
        </w:tc>
      </w:tr>
      <w:tr w:rsidR="00551B00" w:rsidTr="08403B98" w14:paraId="1A1B48C6" w14:textId="77777777">
        <w:tc>
          <w:tcPr>
            <w:tcW w:w="4144" w:type="dxa"/>
            <w:tcMar/>
          </w:tcPr>
          <w:p w:rsidRPr="00EB5B0F" w:rsidR="00551B00" w:rsidP="00095B69" w:rsidRDefault="00551B00" w14:paraId="48DE29E7" w14:textId="08802BCE">
            <w:pPr>
              <w:rPr>
                <w:sz w:val="22"/>
                <w:szCs w:val="22"/>
              </w:rPr>
            </w:pPr>
            <w:r>
              <w:rPr>
                <w:sz w:val="20"/>
                <w:szCs w:val="20"/>
              </w:rPr>
              <w:t>Do shelters have walls built of solid material (wood, metal, etc.)?</w:t>
            </w:r>
          </w:p>
        </w:tc>
        <w:tc>
          <w:tcPr>
            <w:tcW w:w="765" w:type="dxa"/>
            <w:tcMar/>
          </w:tcPr>
          <w:p w:rsidRPr="00EB5B0F" w:rsidR="00551B00" w:rsidP="00095B69" w:rsidRDefault="00551B00" w14:paraId="0DFA61B5" w14:textId="77777777">
            <w:pPr>
              <w:rPr>
                <w:sz w:val="22"/>
                <w:szCs w:val="22"/>
              </w:rPr>
            </w:pPr>
          </w:p>
        </w:tc>
        <w:tc>
          <w:tcPr>
            <w:tcW w:w="630" w:type="dxa"/>
            <w:tcMar/>
          </w:tcPr>
          <w:p w:rsidRPr="00EB5B0F" w:rsidR="00551B00" w:rsidP="00095B69" w:rsidRDefault="00551B00" w14:paraId="5983079D" w14:textId="77777777">
            <w:pPr>
              <w:rPr>
                <w:sz w:val="22"/>
                <w:szCs w:val="22"/>
              </w:rPr>
            </w:pPr>
          </w:p>
        </w:tc>
        <w:tc>
          <w:tcPr>
            <w:tcW w:w="3811" w:type="dxa"/>
            <w:tcMar/>
          </w:tcPr>
          <w:p w:rsidRPr="00EB5B0F" w:rsidR="00551B00" w:rsidP="00095B69" w:rsidRDefault="00551B00" w14:paraId="12C7E7FB" w14:textId="77777777">
            <w:pPr>
              <w:rPr>
                <w:sz w:val="22"/>
                <w:szCs w:val="22"/>
              </w:rPr>
            </w:pPr>
          </w:p>
        </w:tc>
      </w:tr>
      <w:tr w:rsidR="00551B00" w:rsidTr="08403B98" w14:paraId="0C1A9565" w14:textId="77777777">
        <w:tc>
          <w:tcPr>
            <w:tcW w:w="4144" w:type="dxa"/>
            <w:tcMar/>
          </w:tcPr>
          <w:p w:rsidRPr="00EB5B0F" w:rsidR="00551B00" w:rsidP="00095B69" w:rsidRDefault="00551B00" w14:paraId="7C280916" w14:textId="0D14FEC0" w14:noSpellErr="1">
            <w:pPr>
              <w:rPr>
                <w:sz w:val="22"/>
                <w:szCs w:val="22"/>
              </w:rPr>
            </w:pPr>
            <w:r w:rsidRPr="6AE0B746" w:rsidR="00551B00">
              <w:rPr>
                <w:sz w:val="20"/>
                <w:szCs w:val="20"/>
              </w:rPr>
              <w:t xml:space="preserve">Do shelters have </w:t>
            </w:r>
            <w:r w:rsidRPr="6AE0B746" w:rsidR="00551B00">
              <w:rPr>
                <w:sz w:val="20"/>
                <w:szCs w:val="20"/>
              </w:rPr>
              <w:t xml:space="preserve">secure doors </w:t>
            </w:r>
            <w:r w:rsidRPr="6AE0B746" w:rsidR="00551B00">
              <w:rPr>
                <w:sz w:val="20"/>
                <w:szCs w:val="20"/>
              </w:rPr>
              <w:t>with locks?</w:t>
            </w:r>
          </w:p>
        </w:tc>
        <w:tc>
          <w:tcPr>
            <w:tcW w:w="765" w:type="dxa"/>
            <w:tcMar/>
          </w:tcPr>
          <w:p w:rsidRPr="00EB5B0F" w:rsidR="00551B00" w:rsidP="00095B69" w:rsidRDefault="00551B00" w14:paraId="26F186C8" w14:textId="77777777">
            <w:pPr>
              <w:rPr>
                <w:sz w:val="22"/>
                <w:szCs w:val="22"/>
              </w:rPr>
            </w:pPr>
          </w:p>
        </w:tc>
        <w:tc>
          <w:tcPr>
            <w:tcW w:w="630" w:type="dxa"/>
            <w:tcMar/>
          </w:tcPr>
          <w:p w:rsidRPr="00EB5B0F" w:rsidR="00551B00" w:rsidP="00095B69" w:rsidRDefault="00551B00" w14:paraId="1ACC6ED1" w14:textId="77777777">
            <w:pPr>
              <w:rPr>
                <w:sz w:val="22"/>
                <w:szCs w:val="22"/>
              </w:rPr>
            </w:pPr>
          </w:p>
        </w:tc>
        <w:tc>
          <w:tcPr>
            <w:tcW w:w="3811" w:type="dxa"/>
            <w:tcMar/>
          </w:tcPr>
          <w:p w:rsidRPr="00EB5B0F" w:rsidR="00551B00" w:rsidP="00095B69" w:rsidRDefault="00551B00" w14:paraId="2FC3F855" w14:textId="77777777">
            <w:pPr>
              <w:rPr>
                <w:sz w:val="22"/>
                <w:szCs w:val="22"/>
              </w:rPr>
            </w:pPr>
          </w:p>
        </w:tc>
      </w:tr>
      <w:tr w:rsidR="6AE0B746" w:rsidTr="08403B98" w14:paraId="7D91070B">
        <w:trPr>
          <w:trHeight w:val="300"/>
        </w:trPr>
        <w:tc>
          <w:tcPr>
            <w:tcW w:w="4144" w:type="dxa"/>
            <w:tcMar/>
          </w:tcPr>
          <w:p w:rsidR="5EF5ED09" w:rsidP="6AE0B746" w:rsidRDefault="5EF5ED09" w14:paraId="7233792C" w14:textId="342F33D7">
            <w:pPr>
              <w:pStyle w:val="Normal"/>
              <w:rPr>
                <w:sz w:val="20"/>
                <w:szCs w:val="20"/>
              </w:rPr>
            </w:pPr>
            <w:r w:rsidRPr="6AE0B746" w:rsidR="5EF5ED09">
              <w:rPr>
                <w:sz w:val="20"/>
                <w:szCs w:val="20"/>
              </w:rPr>
              <w:t>If shelters have windows, do the windows have locks or lockable shutters?</w:t>
            </w:r>
          </w:p>
        </w:tc>
        <w:tc>
          <w:tcPr>
            <w:tcW w:w="765" w:type="dxa"/>
            <w:tcMar/>
          </w:tcPr>
          <w:p w:rsidR="6AE0B746" w:rsidP="6AE0B746" w:rsidRDefault="6AE0B746" w14:paraId="2EE777AD" w14:textId="6418B8D0">
            <w:pPr>
              <w:pStyle w:val="Normal"/>
              <w:rPr>
                <w:sz w:val="22"/>
                <w:szCs w:val="22"/>
              </w:rPr>
            </w:pPr>
          </w:p>
        </w:tc>
        <w:tc>
          <w:tcPr>
            <w:tcW w:w="630" w:type="dxa"/>
            <w:tcMar/>
          </w:tcPr>
          <w:p w:rsidR="6AE0B746" w:rsidP="6AE0B746" w:rsidRDefault="6AE0B746" w14:paraId="1BD927D2" w14:textId="40EE3998">
            <w:pPr>
              <w:pStyle w:val="Normal"/>
              <w:rPr>
                <w:sz w:val="22"/>
                <w:szCs w:val="22"/>
              </w:rPr>
            </w:pPr>
          </w:p>
        </w:tc>
        <w:tc>
          <w:tcPr>
            <w:tcW w:w="3811" w:type="dxa"/>
            <w:tcMar/>
          </w:tcPr>
          <w:p w:rsidR="6AE0B746" w:rsidP="6AE0B746" w:rsidRDefault="6AE0B746" w14:paraId="51BEA75D" w14:textId="753E6836">
            <w:pPr>
              <w:pStyle w:val="Normal"/>
              <w:rPr>
                <w:sz w:val="22"/>
                <w:szCs w:val="22"/>
              </w:rPr>
            </w:pPr>
          </w:p>
        </w:tc>
      </w:tr>
      <w:tr w:rsidR="00551B00" w:rsidTr="08403B98" w14:paraId="7AB0E8DC" w14:textId="77777777">
        <w:tc>
          <w:tcPr>
            <w:tcW w:w="4144" w:type="dxa"/>
            <w:tcMar/>
          </w:tcPr>
          <w:p w:rsidRPr="00EB5B0F" w:rsidR="00551B00" w:rsidP="00551B00" w:rsidRDefault="00551B00" w14:paraId="72E2063A" w14:textId="3CAEFFE0">
            <w:pPr>
              <w:rPr>
                <w:sz w:val="22"/>
                <w:szCs w:val="22"/>
              </w:rPr>
            </w:pPr>
            <w:r>
              <w:rPr>
                <w:sz w:val="20"/>
                <w:szCs w:val="20"/>
              </w:rPr>
              <w:t xml:space="preserve">Do shelters have private sleeping areas (separated by walls, hanging partitions, etc.)? </w:t>
            </w:r>
          </w:p>
        </w:tc>
        <w:tc>
          <w:tcPr>
            <w:tcW w:w="765" w:type="dxa"/>
            <w:tcMar/>
          </w:tcPr>
          <w:p w:rsidRPr="00EB5B0F" w:rsidR="00551B00" w:rsidP="00551B00" w:rsidRDefault="00551B00" w14:paraId="6415C44C" w14:textId="77777777">
            <w:pPr>
              <w:rPr>
                <w:sz w:val="22"/>
                <w:szCs w:val="22"/>
              </w:rPr>
            </w:pPr>
          </w:p>
        </w:tc>
        <w:tc>
          <w:tcPr>
            <w:tcW w:w="630" w:type="dxa"/>
            <w:tcMar/>
          </w:tcPr>
          <w:p w:rsidRPr="00EB5B0F" w:rsidR="00551B00" w:rsidP="00551B00" w:rsidRDefault="00551B00" w14:paraId="321880BC" w14:textId="77777777">
            <w:pPr>
              <w:rPr>
                <w:sz w:val="22"/>
                <w:szCs w:val="22"/>
              </w:rPr>
            </w:pPr>
          </w:p>
        </w:tc>
        <w:tc>
          <w:tcPr>
            <w:tcW w:w="3811" w:type="dxa"/>
            <w:tcMar/>
          </w:tcPr>
          <w:p w:rsidRPr="00EB5B0F" w:rsidR="00551B00" w:rsidP="00551B00" w:rsidRDefault="00551B00" w14:paraId="710F8010" w14:textId="77777777">
            <w:pPr>
              <w:rPr>
                <w:sz w:val="22"/>
                <w:szCs w:val="22"/>
              </w:rPr>
            </w:pPr>
          </w:p>
        </w:tc>
      </w:tr>
      <w:tr w:rsidR="00551B00" w:rsidTr="08403B98" w14:paraId="195EB193" w14:textId="77777777">
        <w:tc>
          <w:tcPr>
            <w:tcW w:w="4144" w:type="dxa"/>
            <w:tcMar/>
          </w:tcPr>
          <w:p w:rsidRPr="00EB5B0F" w:rsidR="00551B00" w:rsidP="00551B00" w:rsidRDefault="00551B00" w14:paraId="6E25569D" w14:textId="78A25875">
            <w:pPr>
              <w:rPr>
                <w:sz w:val="22"/>
                <w:szCs w:val="22"/>
              </w:rPr>
            </w:pPr>
            <w:r>
              <w:rPr>
                <w:sz w:val="20"/>
                <w:szCs w:val="20"/>
              </w:rPr>
              <w:t xml:space="preserve">Are some shelters </w:t>
            </w:r>
            <w:proofErr w:type="gramStart"/>
            <w:r>
              <w:rPr>
                <w:sz w:val="20"/>
                <w:szCs w:val="20"/>
              </w:rPr>
              <w:t>housing</w:t>
            </w:r>
            <w:proofErr w:type="gramEnd"/>
            <w:r>
              <w:rPr>
                <w:sz w:val="20"/>
                <w:szCs w:val="20"/>
              </w:rPr>
              <w:t xml:space="preserve"> more than six people?</w:t>
            </w:r>
          </w:p>
        </w:tc>
        <w:tc>
          <w:tcPr>
            <w:tcW w:w="765" w:type="dxa"/>
            <w:tcMar/>
          </w:tcPr>
          <w:p w:rsidRPr="00EB5B0F" w:rsidR="00551B00" w:rsidP="00551B00" w:rsidRDefault="00551B00" w14:paraId="2978AEFC" w14:textId="77777777">
            <w:pPr>
              <w:rPr>
                <w:sz w:val="22"/>
                <w:szCs w:val="22"/>
              </w:rPr>
            </w:pPr>
          </w:p>
        </w:tc>
        <w:tc>
          <w:tcPr>
            <w:tcW w:w="630" w:type="dxa"/>
            <w:tcMar/>
          </w:tcPr>
          <w:p w:rsidRPr="00EB5B0F" w:rsidR="00551B00" w:rsidP="00551B00" w:rsidRDefault="00551B00" w14:paraId="15DDCD3F" w14:textId="77777777">
            <w:pPr>
              <w:rPr>
                <w:sz w:val="22"/>
                <w:szCs w:val="22"/>
              </w:rPr>
            </w:pPr>
          </w:p>
        </w:tc>
        <w:tc>
          <w:tcPr>
            <w:tcW w:w="3811" w:type="dxa"/>
            <w:tcMar/>
          </w:tcPr>
          <w:p w:rsidRPr="00EB5B0F" w:rsidR="00551B00" w:rsidP="00551B00" w:rsidRDefault="00551B00" w14:paraId="7917993D" w14:textId="77777777">
            <w:pPr>
              <w:rPr>
                <w:sz w:val="22"/>
                <w:szCs w:val="22"/>
              </w:rPr>
            </w:pPr>
          </w:p>
        </w:tc>
      </w:tr>
      <w:tr w:rsidR="00551B00" w:rsidTr="08403B98" w14:paraId="217990B5" w14:textId="77777777">
        <w:tc>
          <w:tcPr>
            <w:tcW w:w="4144" w:type="dxa"/>
            <w:tcMar/>
          </w:tcPr>
          <w:p w:rsidRPr="00844692" w:rsidR="00551B00" w:rsidP="00844692" w:rsidRDefault="00551B00" w14:paraId="60CF03FB" w14:textId="501BBA1C">
            <w:pPr>
              <w:rPr>
                <w:sz w:val="22"/>
                <w:szCs w:val="22"/>
              </w:rPr>
            </w:pPr>
            <w:r w:rsidRPr="00844692">
              <w:rPr>
                <w:sz w:val="22"/>
                <w:szCs w:val="22"/>
              </w:rPr>
              <w:t>Are there multiple families sharing the same shelter?</w:t>
            </w:r>
          </w:p>
        </w:tc>
        <w:tc>
          <w:tcPr>
            <w:tcW w:w="765" w:type="dxa"/>
            <w:tcMar/>
          </w:tcPr>
          <w:p w:rsidRPr="00EB5B0F" w:rsidR="00551B00" w:rsidP="00551B00" w:rsidRDefault="00551B00" w14:paraId="00D89B24" w14:textId="77777777">
            <w:pPr>
              <w:rPr>
                <w:sz w:val="22"/>
                <w:szCs w:val="22"/>
              </w:rPr>
            </w:pPr>
          </w:p>
        </w:tc>
        <w:tc>
          <w:tcPr>
            <w:tcW w:w="630" w:type="dxa"/>
            <w:tcMar/>
          </w:tcPr>
          <w:p w:rsidRPr="00EB5B0F" w:rsidR="00551B00" w:rsidP="00551B00" w:rsidRDefault="00551B00" w14:paraId="10C45739" w14:textId="77777777">
            <w:pPr>
              <w:rPr>
                <w:sz w:val="22"/>
                <w:szCs w:val="22"/>
              </w:rPr>
            </w:pPr>
          </w:p>
        </w:tc>
        <w:tc>
          <w:tcPr>
            <w:tcW w:w="3811" w:type="dxa"/>
            <w:tcMar/>
          </w:tcPr>
          <w:p w:rsidRPr="00EB5B0F" w:rsidR="00551B00" w:rsidP="00551B00" w:rsidRDefault="00551B00" w14:paraId="5752E073" w14:textId="77777777">
            <w:pPr>
              <w:rPr>
                <w:sz w:val="22"/>
                <w:szCs w:val="22"/>
              </w:rPr>
            </w:pPr>
          </w:p>
        </w:tc>
      </w:tr>
      <w:tr w:rsidR="00551B00" w:rsidTr="08403B98" w14:paraId="5C49C6A4" w14:textId="77777777">
        <w:tc>
          <w:tcPr>
            <w:tcW w:w="4144" w:type="dxa"/>
            <w:tcMar/>
          </w:tcPr>
          <w:p w:rsidRPr="00EB5B0F" w:rsidR="00551B00" w:rsidP="00551B00" w:rsidRDefault="00551B00" w14:paraId="4FB1215B" w14:textId="59B5134C">
            <w:pPr>
              <w:rPr>
                <w:sz w:val="22"/>
                <w:szCs w:val="22"/>
              </w:rPr>
            </w:pPr>
          </w:p>
        </w:tc>
        <w:tc>
          <w:tcPr>
            <w:tcW w:w="765" w:type="dxa"/>
            <w:tcMar/>
          </w:tcPr>
          <w:p w:rsidRPr="00EB5B0F" w:rsidR="00551B00" w:rsidP="00551B00" w:rsidRDefault="00551B00" w14:paraId="59598356" w14:textId="77777777">
            <w:pPr>
              <w:rPr>
                <w:sz w:val="22"/>
                <w:szCs w:val="22"/>
              </w:rPr>
            </w:pPr>
          </w:p>
        </w:tc>
        <w:tc>
          <w:tcPr>
            <w:tcW w:w="630" w:type="dxa"/>
            <w:tcMar/>
          </w:tcPr>
          <w:p w:rsidRPr="00EB5B0F" w:rsidR="00551B00" w:rsidP="00551B00" w:rsidRDefault="00551B00" w14:paraId="5A106DEE" w14:textId="77777777">
            <w:pPr>
              <w:rPr>
                <w:sz w:val="22"/>
                <w:szCs w:val="22"/>
              </w:rPr>
            </w:pPr>
          </w:p>
        </w:tc>
        <w:tc>
          <w:tcPr>
            <w:tcW w:w="3811" w:type="dxa"/>
            <w:tcMar/>
          </w:tcPr>
          <w:p w:rsidRPr="00EB5B0F" w:rsidR="00551B00" w:rsidP="00551B00" w:rsidRDefault="00551B00" w14:paraId="43562EAF" w14:textId="77777777">
            <w:pPr>
              <w:rPr>
                <w:sz w:val="22"/>
                <w:szCs w:val="22"/>
              </w:rPr>
            </w:pPr>
          </w:p>
        </w:tc>
      </w:tr>
      <w:tr w:rsidR="00551B00" w:rsidTr="08403B98" w14:paraId="53F7761E" w14:textId="77777777">
        <w:tc>
          <w:tcPr>
            <w:tcW w:w="9350" w:type="dxa"/>
            <w:gridSpan w:val="4"/>
            <w:shd w:val="clear" w:color="auto" w:fill="FAE2D5" w:themeFill="accent2" w:themeFillTint="33"/>
            <w:tcMar/>
          </w:tcPr>
          <w:p w:rsidRPr="00EB5B0F" w:rsidR="00551B00" w:rsidP="00551B00" w:rsidRDefault="00551B00" w14:paraId="1B98E78B" w14:textId="4BCA9D9C">
            <w:pPr>
              <w:rPr>
                <w:sz w:val="22"/>
                <w:szCs w:val="22"/>
              </w:rPr>
            </w:pPr>
            <w:r w:rsidRPr="00551B00">
              <w:rPr>
                <w:b/>
                <w:bCs/>
              </w:rPr>
              <w:t>Collective shelters</w:t>
            </w:r>
          </w:p>
        </w:tc>
      </w:tr>
      <w:tr w:rsidR="00F267B0" w:rsidTr="08403B98" w14:paraId="07A590DA" w14:textId="77777777">
        <w:tc>
          <w:tcPr>
            <w:tcW w:w="4144" w:type="dxa"/>
            <w:tcMar/>
          </w:tcPr>
          <w:p w:rsidR="00F267B0" w:rsidP="00551B00" w:rsidRDefault="00F267B0" w14:paraId="506DF7F5" w14:textId="6BA8D3BA">
            <w:pPr>
              <w:rPr>
                <w:sz w:val="22"/>
                <w:szCs w:val="22"/>
              </w:rPr>
            </w:pPr>
            <w:r>
              <w:rPr>
                <w:sz w:val="22"/>
                <w:szCs w:val="22"/>
              </w:rPr>
              <w:t>Are families able to be accommodated together?</w:t>
            </w:r>
          </w:p>
        </w:tc>
        <w:tc>
          <w:tcPr>
            <w:tcW w:w="765" w:type="dxa"/>
            <w:tcMar/>
          </w:tcPr>
          <w:p w:rsidRPr="00EB5B0F" w:rsidR="00F267B0" w:rsidP="00551B00" w:rsidRDefault="00F267B0" w14:paraId="25CE5570" w14:textId="77777777">
            <w:pPr>
              <w:rPr>
                <w:sz w:val="22"/>
                <w:szCs w:val="22"/>
              </w:rPr>
            </w:pPr>
          </w:p>
        </w:tc>
        <w:tc>
          <w:tcPr>
            <w:tcW w:w="630" w:type="dxa"/>
            <w:tcMar/>
          </w:tcPr>
          <w:p w:rsidRPr="00EB5B0F" w:rsidR="00F267B0" w:rsidP="00551B00" w:rsidRDefault="00F267B0" w14:paraId="77B05E95" w14:textId="77777777">
            <w:pPr>
              <w:rPr>
                <w:sz w:val="22"/>
                <w:szCs w:val="22"/>
              </w:rPr>
            </w:pPr>
          </w:p>
        </w:tc>
        <w:tc>
          <w:tcPr>
            <w:tcW w:w="3811" w:type="dxa"/>
            <w:tcMar/>
          </w:tcPr>
          <w:p w:rsidRPr="00EB5B0F" w:rsidR="00F267B0" w:rsidP="00551B00" w:rsidRDefault="00F267B0" w14:paraId="44298379" w14:textId="77777777">
            <w:pPr>
              <w:rPr>
                <w:sz w:val="22"/>
                <w:szCs w:val="22"/>
              </w:rPr>
            </w:pPr>
          </w:p>
        </w:tc>
      </w:tr>
      <w:tr w:rsidR="00551B00" w:rsidTr="08403B98" w14:paraId="18B7DC3A" w14:textId="77777777">
        <w:tc>
          <w:tcPr>
            <w:tcW w:w="4144" w:type="dxa"/>
            <w:tcMar/>
          </w:tcPr>
          <w:p w:rsidRPr="00EB5B0F" w:rsidR="00551B00" w:rsidP="00551B00" w:rsidRDefault="00551B00" w14:paraId="10E53B99" w14:textId="3C7A4953">
            <w:pPr>
              <w:rPr>
                <w:sz w:val="22"/>
                <w:szCs w:val="22"/>
              </w:rPr>
            </w:pPr>
            <w:r>
              <w:rPr>
                <w:sz w:val="22"/>
                <w:szCs w:val="22"/>
              </w:rPr>
              <w:t xml:space="preserve">Are sleeping areas </w:t>
            </w:r>
            <w:r w:rsidR="00F267B0">
              <w:rPr>
                <w:sz w:val="22"/>
                <w:szCs w:val="22"/>
              </w:rPr>
              <w:t xml:space="preserve">for non-family groups </w:t>
            </w:r>
            <w:r>
              <w:rPr>
                <w:sz w:val="22"/>
                <w:szCs w:val="22"/>
              </w:rPr>
              <w:t>sex-segregated?</w:t>
            </w:r>
          </w:p>
        </w:tc>
        <w:tc>
          <w:tcPr>
            <w:tcW w:w="765" w:type="dxa"/>
            <w:tcMar/>
          </w:tcPr>
          <w:p w:rsidRPr="00EB5B0F" w:rsidR="00551B00" w:rsidP="00551B00" w:rsidRDefault="00551B00" w14:paraId="452C190D" w14:textId="77777777">
            <w:pPr>
              <w:rPr>
                <w:sz w:val="22"/>
                <w:szCs w:val="22"/>
              </w:rPr>
            </w:pPr>
          </w:p>
        </w:tc>
        <w:tc>
          <w:tcPr>
            <w:tcW w:w="630" w:type="dxa"/>
            <w:tcMar/>
          </w:tcPr>
          <w:p w:rsidRPr="00EB5B0F" w:rsidR="00551B00" w:rsidP="00551B00" w:rsidRDefault="00551B00" w14:paraId="47C9D19A" w14:textId="77777777">
            <w:pPr>
              <w:rPr>
                <w:sz w:val="22"/>
                <w:szCs w:val="22"/>
              </w:rPr>
            </w:pPr>
          </w:p>
        </w:tc>
        <w:tc>
          <w:tcPr>
            <w:tcW w:w="3811" w:type="dxa"/>
            <w:tcMar/>
          </w:tcPr>
          <w:p w:rsidRPr="00EB5B0F" w:rsidR="00551B00" w:rsidP="00551B00" w:rsidRDefault="00551B00" w14:paraId="247ADE88" w14:textId="77777777">
            <w:pPr>
              <w:rPr>
                <w:sz w:val="22"/>
                <w:szCs w:val="22"/>
              </w:rPr>
            </w:pPr>
          </w:p>
        </w:tc>
      </w:tr>
      <w:tr w:rsidR="00551B00" w:rsidTr="08403B98" w14:paraId="56D99899" w14:textId="77777777">
        <w:tc>
          <w:tcPr>
            <w:tcW w:w="4144" w:type="dxa"/>
            <w:tcMar/>
          </w:tcPr>
          <w:p w:rsidRPr="00EB5B0F" w:rsidR="00551B00" w:rsidP="00551B00" w:rsidRDefault="00551B00" w14:paraId="15565DF8" w14:textId="5B325A63">
            <w:pPr>
              <w:rPr>
                <w:sz w:val="22"/>
                <w:szCs w:val="22"/>
              </w:rPr>
            </w:pPr>
            <w:r>
              <w:rPr>
                <w:sz w:val="22"/>
                <w:szCs w:val="22"/>
              </w:rPr>
              <w:lastRenderedPageBreak/>
              <w:t>Are there walls, hanging partitions or other materials in place to ensure privacy?</w:t>
            </w:r>
          </w:p>
        </w:tc>
        <w:tc>
          <w:tcPr>
            <w:tcW w:w="765" w:type="dxa"/>
            <w:tcMar/>
          </w:tcPr>
          <w:p w:rsidRPr="00EB5B0F" w:rsidR="00551B00" w:rsidP="00551B00" w:rsidRDefault="00551B00" w14:paraId="2D5FA526" w14:textId="77777777">
            <w:pPr>
              <w:rPr>
                <w:sz w:val="22"/>
                <w:szCs w:val="22"/>
              </w:rPr>
            </w:pPr>
          </w:p>
        </w:tc>
        <w:tc>
          <w:tcPr>
            <w:tcW w:w="630" w:type="dxa"/>
            <w:tcMar/>
          </w:tcPr>
          <w:p w:rsidRPr="00EB5B0F" w:rsidR="00551B00" w:rsidP="00551B00" w:rsidRDefault="00551B00" w14:paraId="494F632B" w14:textId="77777777">
            <w:pPr>
              <w:rPr>
                <w:sz w:val="22"/>
                <w:szCs w:val="22"/>
              </w:rPr>
            </w:pPr>
          </w:p>
        </w:tc>
        <w:tc>
          <w:tcPr>
            <w:tcW w:w="3811" w:type="dxa"/>
            <w:tcMar/>
          </w:tcPr>
          <w:p w:rsidRPr="00EB5B0F" w:rsidR="00551B00" w:rsidP="00551B00" w:rsidRDefault="00551B00" w14:paraId="059C4397" w14:textId="77777777">
            <w:pPr>
              <w:rPr>
                <w:sz w:val="22"/>
                <w:szCs w:val="22"/>
              </w:rPr>
            </w:pPr>
          </w:p>
        </w:tc>
      </w:tr>
      <w:tr w:rsidR="00F267B0" w:rsidTr="08403B98" w14:paraId="24D29182" w14:textId="77777777">
        <w:tc>
          <w:tcPr>
            <w:tcW w:w="4144" w:type="dxa"/>
            <w:tcMar/>
          </w:tcPr>
          <w:p w:rsidR="00F267B0" w:rsidP="00551B00" w:rsidRDefault="00F267B0" w14:paraId="4CC442DB" w14:textId="7AC3E2FD">
            <w:pPr>
              <w:rPr>
                <w:sz w:val="22"/>
                <w:szCs w:val="22"/>
              </w:rPr>
            </w:pPr>
            <w:r>
              <w:rPr>
                <w:sz w:val="22"/>
                <w:szCs w:val="22"/>
              </w:rPr>
              <w:t xml:space="preserve">Are </w:t>
            </w:r>
            <w:r>
              <w:rPr>
                <w:sz w:val="22"/>
                <w:szCs w:val="22"/>
              </w:rPr>
              <w:t xml:space="preserve">WASH facilities (latrines, bathing facilities) </w:t>
            </w:r>
            <w:r>
              <w:rPr>
                <w:sz w:val="22"/>
                <w:szCs w:val="22"/>
              </w:rPr>
              <w:t>sex segregated</w:t>
            </w:r>
            <w:r>
              <w:rPr>
                <w:sz w:val="22"/>
                <w:szCs w:val="22"/>
              </w:rPr>
              <w:t>?</w:t>
            </w:r>
          </w:p>
        </w:tc>
        <w:tc>
          <w:tcPr>
            <w:tcW w:w="765" w:type="dxa"/>
            <w:tcMar/>
          </w:tcPr>
          <w:p w:rsidRPr="00EB5B0F" w:rsidR="00F267B0" w:rsidP="00551B00" w:rsidRDefault="00F267B0" w14:paraId="20459D9B" w14:textId="77777777">
            <w:pPr>
              <w:rPr>
                <w:sz w:val="22"/>
                <w:szCs w:val="22"/>
              </w:rPr>
            </w:pPr>
          </w:p>
        </w:tc>
        <w:tc>
          <w:tcPr>
            <w:tcW w:w="630" w:type="dxa"/>
            <w:tcMar/>
          </w:tcPr>
          <w:p w:rsidRPr="00EB5B0F" w:rsidR="00F267B0" w:rsidP="00551B00" w:rsidRDefault="00F267B0" w14:paraId="29BC192E" w14:textId="77777777">
            <w:pPr>
              <w:rPr>
                <w:sz w:val="22"/>
                <w:szCs w:val="22"/>
              </w:rPr>
            </w:pPr>
          </w:p>
        </w:tc>
        <w:tc>
          <w:tcPr>
            <w:tcW w:w="3811" w:type="dxa"/>
            <w:tcMar/>
          </w:tcPr>
          <w:p w:rsidRPr="00EB5B0F" w:rsidR="00F267B0" w:rsidP="00551B00" w:rsidRDefault="00F267B0" w14:paraId="301EB355" w14:textId="77777777">
            <w:pPr>
              <w:rPr>
                <w:sz w:val="22"/>
                <w:szCs w:val="22"/>
              </w:rPr>
            </w:pPr>
          </w:p>
        </w:tc>
      </w:tr>
      <w:tr w:rsidR="00844692" w:rsidTr="08403B98" w14:paraId="4AAD2CDB" w14:textId="77777777">
        <w:tc>
          <w:tcPr>
            <w:tcW w:w="4144" w:type="dxa"/>
            <w:tcMar/>
          </w:tcPr>
          <w:p w:rsidR="00844692" w:rsidP="00551B00" w:rsidRDefault="00844692" w14:paraId="442CA77A" w14:textId="776748F2" w14:noSpellErr="1">
            <w:pPr>
              <w:rPr>
                <w:sz w:val="22"/>
                <w:szCs w:val="22"/>
              </w:rPr>
            </w:pPr>
            <w:r w:rsidRPr="6AE0B746" w:rsidR="00844692">
              <w:rPr>
                <w:sz w:val="22"/>
                <w:szCs w:val="22"/>
              </w:rPr>
              <w:t xml:space="preserve">Are </w:t>
            </w:r>
            <w:r w:rsidRPr="6AE0B746" w:rsidR="00844692">
              <w:rPr>
                <w:sz w:val="22"/>
                <w:szCs w:val="22"/>
              </w:rPr>
              <w:t xml:space="preserve">WASH facilities (latrines, bathing facilities) </w:t>
            </w:r>
            <w:r w:rsidRPr="6AE0B746" w:rsidR="00844692">
              <w:rPr>
                <w:sz w:val="22"/>
                <w:szCs w:val="22"/>
              </w:rPr>
              <w:t xml:space="preserve">lockable </w:t>
            </w:r>
            <w:r w:rsidRPr="6AE0B746" w:rsidR="00844692">
              <w:rPr>
                <w:sz w:val="22"/>
                <w:szCs w:val="22"/>
              </w:rPr>
              <w:t>from the inside</w:t>
            </w:r>
            <w:r w:rsidRPr="6AE0B746" w:rsidR="00844692">
              <w:rPr>
                <w:sz w:val="22"/>
                <w:szCs w:val="22"/>
              </w:rPr>
              <w:t>?</w:t>
            </w:r>
          </w:p>
        </w:tc>
        <w:tc>
          <w:tcPr>
            <w:tcW w:w="765" w:type="dxa"/>
            <w:tcMar/>
          </w:tcPr>
          <w:p w:rsidRPr="00EB5B0F" w:rsidR="00844692" w:rsidP="00551B00" w:rsidRDefault="00844692" w14:paraId="0021BEC7" w14:textId="77777777">
            <w:pPr>
              <w:rPr>
                <w:sz w:val="22"/>
                <w:szCs w:val="22"/>
              </w:rPr>
            </w:pPr>
          </w:p>
        </w:tc>
        <w:tc>
          <w:tcPr>
            <w:tcW w:w="630" w:type="dxa"/>
            <w:tcMar/>
          </w:tcPr>
          <w:p w:rsidRPr="00EB5B0F" w:rsidR="00844692" w:rsidP="00551B00" w:rsidRDefault="00844692" w14:paraId="29A08866" w14:textId="77777777">
            <w:pPr>
              <w:rPr>
                <w:sz w:val="22"/>
                <w:szCs w:val="22"/>
              </w:rPr>
            </w:pPr>
          </w:p>
        </w:tc>
        <w:tc>
          <w:tcPr>
            <w:tcW w:w="3811" w:type="dxa"/>
            <w:tcMar/>
          </w:tcPr>
          <w:p w:rsidRPr="00EB5B0F" w:rsidR="00844692" w:rsidP="00551B00" w:rsidRDefault="00844692" w14:paraId="0E9D7C10" w14:textId="77777777">
            <w:pPr>
              <w:rPr>
                <w:sz w:val="22"/>
                <w:szCs w:val="22"/>
              </w:rPr>
            </w:pPr>
          </w:p>
        </w:tc>
      </w:tr>
      <w:tr w:rsidR="6AE0B746" w:rsidTr="08403B98" w14:paraId="36F564D5">
        <w:trPr>
          <w:trHeight w:val="300"/>
        </w:trPr>
        <w:tc>
          <w:tcPr>
            <w:tcW w:w="4144" w:type="dxa"/>
            <w:tcMar/>
          </w:tcPr>
          <w:p w:rsidR="66500B45" w:rsidP="6AE0B746" w:rsidRDefault="66500B45" w14:paraId="6B19942F" w14:textId="7812EB28">
            <w:pPr>
              <w:pStyle w:val="Normal"/>
              <w:rPr>
                <w:sz w:val="22"/>
                <w:szCs w:val="22"/>
              </w:rPr>
            </w:pPr>
            <w:r w:rsidRPr="6AE0B746" w:rsidR="66500B45">
              <w:rPr>
                <w:sz w:val="22"/>
                <w:szCs w:val="22"/>
              </w:rPr>
              <w:t>Are WASH facilities fully private? (i.e.: no gaps to peep through)</w:t>
            </w:r>
          </w:p>
        </w:tc>
        <w:tc>
          <w:tcPr>
            <w:tcW w:w="765" w:type="dxa"/>
            <w:tcMar/>
          </w:tcPr>
          <w:p w:rsidR="6AE0B746" w:rsidP="6AE0B746" w:rsidRDefault="6AE0B746" w14:paraId="37B10A53" w14:textId="2CADDDC8">
            <w:pPr>
              <w:pStyle w:val="Normal"/>
              <w:rPr>
                <w:sz w:val="22"/>
                <w:szCs w:val="22"/>
              </w:rPr>
            </w:pPr>
          </w:p>
        </w:tc>
        <w:tc>
          <w:tcPr>
            <w:tcW w:w="630" w:type="dxa"/>
            <w:tcMar/>
          </w:tcPr>
          <w:p w:rsidR="6AE0B746" w:rsidP="6AE0B746" w:rsidRDefault="6AE0B746" w14:paraId="0F1ADEAA" w14:textId="559F8A58">
            <w:pPr>
              <w:pStyle w:val="Normal"/>
              <w:rPr>
                <w:sz w:val="22"/>
                <w:szCs w:val="22"/>
              </w:rPr>
            </w:pPr>
          </w:p>
        </w:tc>
        <w:tc>
          <w:tcPr>
            <w:tcW w:w="3811" w:type="dxa"/>
            <w:tcMar/>
          </w:tcPr>
          <w:p w:rsidR="6AE0B746" w:rsidP="6AE0B746" w:rsidRDefault="6AE0B746" w14:paraId="41429C48" w14:textId="46E37F6F">
            <w:pPr>
              <w:pStyle w:val="Normal"/>
              <w:rPr>
                <w:sz w:val="22"/>
                <w:szCs w:val="22"/>
              </w:rPr>
            </w:pPr>
          </w:p>
        </w:tc>
      </w:tr>
      <w:tr w:rsidR="00551B00" w:rsidTr="08403B98" w14:paraId="11A837FF" w14:textId="77777777">
        <w:tc>
          <w:tcPr>
            <w:tcW w:w="4144" w:type="dxa"/>
            <w:tcMar/>
          </w:tcPr>
          <w:p w:rsidRPr="00EB5B0F" w:rsidR="00551B00" w:rsidP="00551B00" w:rsidRDefault="00F267B0" w14:paraId="21B35789" w14:textId="6D925F4E">
            <w:pPr>
              <w:rPr>
                <w:sz w:val="22"/>
                <w:szCs w:val="22"/>
              </w:rPr>
            </w:pPr>
            <w:r>
              <w:rPr>
                <w:sz w:val="22"/>
                <w:szCs w:val="22"/>
              </w:rPr>
              <w:t>Are WASH facilities (latrines, bathing facilities) sufficient in number?</w:t>
            </w:r>
          </w:p>
        </w:tc>
        <w:tc>
          <w:tcPr>
            <w:tcW w:w="765" w:type="dxa"/>
            <w:tcMar/>
          </w:tcPr>
          <w:p w:rsidRPr="00EB5B0F" w:rsidR="00551B00" w:rsidP="00551B00" w:rsidRDefault="00551B00" w14:paraId="7831F5B6" w14:textId="77777777">
            <w:pPr>
              <w:rPr>
                <w:sz w:val="22"/>
                <w:szCs w:val="22"/>
              </w:rPr>
            </w:pPr>
          </w:p>
        </w:tc>
        <w:tc>
          <w:tcPr>
            <w:tcW w:w="630" w:type="dxa"/>
            <w:tcMar/>
          </w:tcPr>
          <w:p w:rsidRPr="00EB5B0F" w:rsidR="00551B00" w:rsidP="00551B00" w:rsidRDefault="00551B00" w14:paraId="2FAC4A3E" w14:textId="77777777">
            <w:pPr>
              <w:rPr>
                <w:sz w:val="22"/>
                <w:szCs w:val="22"/>
              </w:rPr>
            </w:pPr>
          </w:p>
        </w:tc>
        <w:tc>
          <w:tcPr>
            <w:tcW w:w="3811" w:type="dxa"/>
            <w:tcMar/>
          </w:tcPr>
          <w:p w:rsidRPr="00EB5B0F" w:rsidR="00551B00" w:rsidP="00551B00" w:rsidRDefault="00551B00" w14:paraId="7FA9016A" w14:textId="77777777">
            <w:pPr>
              <w:rPr>
                <w:sz w:val="22"/>
                <w:szCs w:val="22"/>
              </w:rPr>
            </w:pPr>
          </w:p>
        </w:tc>
      </w:tr>
      <w:tr w:rsidR="283D6D95" w:rsidTr="08403B98" w14:paraId="0F9BBF6C">
        <w:trPr>
          <w:trHeight w:val="300"/>
        </w:trPr>
        <w:tc>
          <w:tcPr>
            <w:tcW w:w="4144" w:type="dxa"/>
            <w:tcMar/>
          </w:tcPr>
          <w:p w:rsidR="283D6D95" w:rsidP="283D6D95" w:rsidRDefault="283D6D95" w14:paraId="0A071766" w14:textId="1F728883">
            <w:pPr>
              <w:pStyle w:val="Normal"/>
              <w:rPr>
                <w:sz w:val="22"/>
                <w:szCs w:val="22"/>
              </w:rPr>
            </w:pPr>
          </w:p>
        </w:tc>
        <w:tc>
          <w:tcPr>
            <w:tcW w:w="765" w:type="dxa"/>
            <w:tcMar/>
          </w:tcPr>
          <w:p w:rsidR="283D6D95" w:rsidP="283D6D95" w:rsidRDefault="283D6D95" w14:paraId="3C1BB139" w14:textId="5FCA7379">
            <w:pPr>
              <w:pStyle w:val="Normal"/>
              <w:rPr>
                <w:sz w:val="22"/>
                <w:szCs w:val="22"/>
              </w:rPr>
            </w:pPr>
          </w:p>
        </w:tc>
        <w:tc>
          <w:tcPr>
            <w:tcW w:w="630" w:type="dxa"/>
            <w:tcMar/>
          </w:tcPr>
          <w:p w:rsidR="283D6D95" w:rsidP="283D6D95" w:rsidRDefault="283D6D95" w14:paraId="5B947EA0" w14:textId="730FA1AA">
            <w:pPr>
              <w:pStyle w:val="Normal"/>
              <w:rPr>
                <w:sz w:val="22"/>
                <w:szCs w:val="22"/>
              </w:rPr>
            </w:pPr>
          </w:p>
        </w:tc>
        <w:tc>
          <w:tcPr>
            <w:tcW w:w="3811" w:type="dxa"/>
            <w:tcMar/>
          </w:tcPr>
          <w:p w:rsidR="283D6D95" w:rsidP="283D6D95" w:rsidRDefault="283D6D95" w14:paraId="5A82B0E3" w14:textId="70FD0E63">
            <w:pPr>
              <w:pStyle w:val="Normal"/>
              <w:rPr>
                <w:sz w:val="22"/>
                <w:szCs w:val="22"/>
              </w:rPr>
            </w:pPr>
          </w:p>
        </w:tc>
      </w:tr>
      <w:tr w:rsidR="00551B00" w:rsidTr="08403B98" w14:paraId="0C6617D5" w14:textId="77777777">
        <w:tc>
          <w:tcPr>
            <w:tcW w:w="9350" w:type="dxa"/>
            <w:gridSpan w:val="4"/>
            <w:shd w:val="clear" w:color="auto" w:fill="FAE2D5" w:themeFill="accent2" w:themeFillTint="33"/>
            <w:tcMar/>
          </w:tcPr>
          <w:p w:rsidRPr="00EB5B0F" w:rsidR="00551B00" w:rsidP="00551B00" w:rsidRDefault="00551B00" w14:paraId="7097D8D3" w14:textId="6828831E">
            <w:pPr>
              <w:rPr>
                <w:sz w:val="22"/>
                <w:szCs w:val="22"/>
              </w:rPr>
            </w:pPr>
            <w:r w:rsidRPr="00551B00">
              <w:rPr>
                <w:b/>
                <w:bCs/>
              </w:rPr>
              <w:t>Rentals</w:t>
            </w:r>
            <w:r w:rsidR="00F267B0">
              <w:rPr>
                <w:b/>
                <w:bCs/>
              </w:rPr>
              <w:t>/hosting</w:t>
            </w:r>
          </w:p>
        </w:tc>
      </w:tr>
      <w:tr w:rsidR="00551B00" w:rsidTr="08403B98" w14:paraId="22B59E86" w14:textId="77777777">
        <w:tc>
          <w:tcPr>
            <w:tcW w:w="4144" w:type="dxa"/>
            <w:tcMar/>
          </w:tcPr>
          <w:p w:rsidRPr="00EB5B0F" w:rsidR="00551B00" w:rsidP="00551B00" w:rsidRDefault="00551B00" w14:paraId="6FE07902" w14:textId="5821982A">
            <w:pPr>
              <w:rPr>
                <w:sz w:val="22"/>
                <w:szCs w:val="22"/>
              </w:rPr>
            </w:pPr>
            <w:r>
              <w:rPr>
                <w:sz w:val="22"/>
                <w:szCs w:val="22"/>
              </w:rPr>
              <w:t>Are any female-headed household</w:t>
            </w:r>
            <w:r w:rsidR="00F267B0">
              <w:rPr>
                <w:sz w:val="22"/>
                <w:szCs w:val="22"/>
              </w:rPr>
              <w:t>s</w:t>
            </w:r>
            <w:r>
              <w:rPr>
                <w:sz w:val="22"/>
                <w:szCs w:val="22"/>
              </w:rPr>
              <w:t xml:space="preserve"> renting from landlords</w:t>
            </w:r>
            <w:r w:rsidR="00F267B0">
              <w:rPr>
                <w:sz w:val="22"/>
                <w:szCs w:val="22"/>
              </w:rPr>
              <w:t xml:space="preserve"> or staying with non-relative hosts</w:t>
            </w:r>
            <w:r>
              <w:rPr>
                <w:sz w:val="22"/>
                <w:szCs w:val="22"/>
              </w:rPr>
              <w:t>?</w:t>
            </w:r>
          </w:p>
        </w:tc>
        <w:tc>
          <w:tcPr>
            <w:tcW w:w="765" w:type="dxa"/>
            <w:tcMar/>
          </w:tcPr>
          <w:p w:rsidRPr="00EB5B0F" w:rsidR="00551B00" w:rsidP="00551B00" w:rsidRDefault="00551B00" w14:paraId="118F339F" w14:textId="77777777">
            <w:pPr>
              <w:rPr>
                <w:sz w:val="22"/>
                <w:szCs w:val="22"/>
              </w:rPr>
            </w:pPr>
          </w:p>
        </w:tc>
        <w:tc>
          <w:tcPr>
            <w:tcW w:w="630" w:type="dxa"/>
            <w:tcMar/>
          </w:tcPr>
          <w:p w:rsidRPr="00EB5B0F" w:rsidR="00551B00" w:rsidP="00551B00" w:rsidRDefault="00551B00" w14:paraId="3DBC11D6" w14:textId="77777777">
            <w:pPr>
              <w:rPr>
                <w:sz w:val="22"/>
                <w:szCs w:val="22"/>
              </w:rPr>
            </w:pPr>
          </w:p>
        </w:tc>
        <w:tc>
          <w:tcPr>
            <w:tcW w:w="3811" w:type="dxa"/>
            <w:tcMar/>
          </w:tcPr>
          <w:p w:rsidRPr="00EB5B0F" w:rsidR="00551B00" w:rsidP="00551B00" w:rsidRDefault="00551B00" w14:paraId="7305059F" w14:textId="77777777">
            <w:pPr>
              <w:rPr>
                <w:sz w:val="22"/>
                <w:szCs w:val="22"/>
              </w:rPr>
            </w:pPr>
          </w:p>
        </w:tc>
      </w:tr>
      <w:tr w:rsidR="00551B00" w:rsidTr="08403B98" w14:paraId="3B62C4CA" w14:textId="77777777">
        <w:tc>
          <w:tcPr>
            <w:tcW w:w="4144" w:type="dxa"/>
            <w:tcMar/>
          </w:tcPr>
          <w:p w:rsidRPr="00EB5B0F" w:rsidR="00551B00" w:rsidP="00551B00" w:rsidRDefault="00551B00" w14:paraId="4C96A0ED" w14:textId="1286CADF">
            <w:pPr>
              <w:rPr>
                <w:sz w:val="22"/>
                <w:szCs w:val="22"/>
              </w:rPr>
            </w:pPr>
            <w:r>
              <w:rPr>
                <w:sz w:val="22"/>
                <w:szCs w:val="22"/>
              </w:rPr>
              <w:t xml:space="preserve">Are there any strategies/accountability mechanisms in place to mitigate the risk of </w:t>
            </w:r>
            <w:r w:rsidR="00F267B0">
              <w:rPr>
                <w:sz w:val="22"/>
                <w:szCs w:val="22"/>
              </w:rPr>
              <w:t xml:space="preserve">neglect, </w:t>
            </w:r>
            <w:r>
              <w:rPr>
                <w:sz w:val="22"/>
                <w:szCs w:val="22"/>
              </w:rPr>
              <w:t>exploitation</w:t>
            </w:r>
            <w:r w:rsidR="00F267B0">
              <w:rPr>
                <w:sz w:val="22"/>
                <w:szCs w:val="22"/>
              </w:rPr>
              <w:t xml:space="preserve">, </w:t>
            </w:r>
            <w:r>
              <w:rPr>
                <w:sz w:val="22"/>
                <w:szCs w:val="22"/>
              </w:rPr>
              <w:t>abuse</w:t>
            </w:r>
            <w:r w:rsidR="00F267B0">
              <w:rPr>
                <w:sz w:val="22"/>
                <w:szCs w:val="22"/>
              </w:rPr>
              <w:t xml:space="preserve"> or other rights violations</w:t>
            </w:r>
            <w:r>
              <w:rPr>
                <w:sz w:val="22"/>
                <w:szCs w:val="22"/>
              </w:rPr>
              <w:t xml:space="preserve"> by landlords</w:t>
            </w:r>
            <w:r w:rsidR="00F267B0">
              <w:rPr>
                <w:sz w:val="22"/>
                <w:szCs w:val="22"/>
              </w:rPr>
              <w:t>/hosts</w:t>
            </w:r>
            <w:r>
              <w:rPr>
                <w:sz w:val="22"/>
                <w:szCs w:val="22"/>
              </w:rPr>
              <w:t>?</w:t>
            </w:r>
          </w:p>
        </w:tc>
        <w:tc>
          <w:tcPr>
            <w:tcW w:w="765" w:type="dxa"/>
            <w:tcMar/>
          </w:tcPr>
          <w:p w:rsidRPr="00EB5B0F" w:rsidR="00551B00" w:rsidP="00551B00" w:rsidRDefault="00551B00" w14:paraId="49A890F8" w14:textId="77777777">
            <w:pPr>
              <w:rPr>
                <w:sz w:val="22"/>
                <w:szCs w:val="22"/>
              </w:rPr>
            </w:pPr>
          </w:p>
        </w:tc>
        <w:tc>
          <w:tcPr>
            <w:tcW w:w="630" w:type="dxa"/>
            <w:tcMar/>
          </w:tcPr>
          <w:p w:rsidRPr="00EB5B0F" w:rsidR="00551B00" w:rsidP="00551B00" w:rsidRDefault="00551B00" w14:paraId="62CE5102" w14:textId="77777777">
            <w:pPr>
              <w:rPr>
                <w:sz w:val="22"/>
                <w:szCs w:val="22"/>
              </w:rPr>
            </w:pPr>
          </w:p>
        </w:tc>
        <w:tc>
          <w:tcPr>
            <w:tcW w:w="3811" w:type="dxa"/>
            <w:tcMar/>
          </w:tcPr>
          <w:p w:rsidRPr="00EB5B0F" w:rsidR="00551B00" w:rsidP="00551B00" w:rsidRDefault="00551B00" w14:paraId="2006AE8B" w14:textId="77777777">
            <w:pPr>
              <w:rPr>
                <w:sz w:val="22"/>
                <w:szCs w:val="22"/>
              </w:rPr>
            </w:pPr>
          </w:p>
        </w:tc>
      </w:tr>
      <w:tr w:rsidR="00551B00" w:rsidTr="08403B98" w14:paraId="2C24329C" w14:textId="77777777">
        <w:tc>
          <w:tcPr>
            <w:tcW w:w="4144" w:type="dxa"/>
            <w:tcMar/>
          </w:tcPr>
          <w:p w:rsidRPr="00EB5B0F" w:rsidR="00551B00" w:rsidP="00551B00" w:rsidRDefault="00551B00" w14:paraId="2A5A90B3" w14:textId="77777777">
            <w:pPr>
              <w:rPr>
                <w:sz w:val="22"/>
                <w:szCs w:val="22"/>
              </w:rPr>
            </w:pPr>
          </w:p>
        </w:tc>
        <w:tc>
          <w:tcPr>
            <w:tcW w:w="765" w:type="dxa"/>
            <w:tcMar/>
          </w:tcPr>
          <w:p w:rsidRPr="00EB5B0F" w:rsidR="00551B00" w:rsidP="00551B00" w:rsidRDefault="00551B00" w14:paraId="6F6DF96B" w14:textId="77777777">
            <w:pPr>
              <w:rPr>
                <w:sz w:val="22"/>
                <w:szCs w:val="22"/>
              </w:rPr>
            </w:pPr>
          </w:p>
        </w:tc>
        <w:tc>
          <w:tcPr>
            <w:tcW w:w="630" w:type="dxa"/>
            <w:tcMar/>
          </w:tcPr>
          <w:p w:rsidRPr="00EB5B0F" w:rsidR="00551B00" w:rsidP="00551B00" w:rsidRDefault="00551B00" w14:paraId="69066844" w14:textId="77777777">
            <w:pPr>
              <w:rPr>
                <w:sz w:val="22"/>
                <w:szCs w:val="22"/>
              </w:rPr>
            </w:pPr>
          </w:p>
        </w:tc>
        <w:tc>
          <w:tcPr>
            <w:tcW w:w="3811" w:type="dxa"/>
            <w:tcMar/>
          </w:tcPr>
          <w:p w:rsidRPr="00EB5B0F" w:rsidR="00551B00" w:rsidP="00551B00" w:rsidRDefault="00551B00" w14:paraId="35DAF635" w14:textId="77777777">
            <w:pPr>
              <w:rPr>
                <w:sz w:val="22"/>
                <w:szCs w:val="22"/>
              </w:rPr>
            </w:pPr>
          </w:p>
        </w:tc>
      </w:tr>
      <w:tr w:rsidR="00844692" w:rsidTr="08403B98" w14:paraId="48898458" w14:textId="77777777">
        <w:tc>
          <w:tcPr>
            <w:tcW w:w="9350" w:type="dxa"/>
            <w:gridSpan w:val="4"/>
            <w:shd w:val="clear" w:color="auto" w:fill="FAE2D5" w:themeFill="accent2" w:themeFillTint="33"/>
            <w:tcMar/>
          </w:tcPr>
          <w:p w:rsidRPr="00844692" w:rsidR="00844692" w:rsidP="00551B00" w:rsidRDefault="00844692" w14:paraId="166C01B0" w14:textId="3E90D7EE">
            <w:r w:rsidRPr="00844692">
              <w:rPr>
                <w:b/>
                <w:bCs/>
              </w:rPr>
              <w:t>NFIs</w:t>
            </w:r>
          </w:p>
        </w:tc>
      </w:tr>
      <w:tr w:rsidR="00844692" w:rsidTr="08403B98" w14:paraId="22B008C9" w14:textId="77777777">
        <w:tc>
          <w:tcPr>
            <w:tcW w:w="4144" w:type="dxa"/>
            <w:tcMar/>
          </w:tcPr>
          <w:p w:rsidRPr="00844692" w:rsidR="00844692" w:rsidP="00551B00" w:rsidRDefault="00844692" w14:paraId="7F74643F" w14:textId="2A8D3311">
            <w:pPr>
              <w:rPr>
                <w:sz w:val="22"/>
                <w:szCs w:val="22"/>
              </w:rPr>
            </w:pPr>
            <w:r w:rsidRPr="00844692">
              <w:rPr>
                <w:sz w:val="22"/>
                <w:szCs w:val="22"/>
              </w:rPr>
              <w:t>Are NFIs distributed directly to women?</w:t>
            </w:r>
          </w:p>
        </w:tc>
        <w:tc>
          <w:tcPr>
            <w:tcW w:w="765" w:type="dxa"/>
            <w:tcMar/>
          </w:tcPr>
          <w:p w:rsidRPr="00EB5B0F" w:rsidR="00844692" w:rsidP="00551B00" w:rsidRDefault="00844692" w14:paraId="2F36CBAF" w14:textId="77777777">
            <w:pPr>
              <w:rPr>
                <w:sz w:val="22"/>
                <w:szCs w:val="22"/>
              </w:rPr>
            </w:pPr>
          </w:p>
        </w:tc>
        <w:tc>
          <w:tcPr>
            <w:tcW w:w="630" w:type="dxa"/>
            <w:tcMar/>
          </w:tcPr>
          <w:p w:rsidRPr="00EB5B0F" w:rsidR="00844692" w:rsidP="00551B00" w:rsidRDefault="00844692" w14:paraId="6430C9B8" w14:textId="77777777">
            <w:pPr>
              <w:rPr>
                <w:sz w:val="22"/>
                <w:szCs w:val="22"/>
              </w:rPr>
            </w:pPr>
          </w:p>
        </w:tc>
        <w:tc>
          <w:tcPr>
            <w:tcW w:w="3811" w:type="dxa"/>
            <w:tcMar/>
          </w:tcPr>
          <w:p w:rsidRPr="00EB5B0F" w:rsidR="00844692" w:rsidP="00551B00" w:rsidRDefault="00844692" w14:paraId="3EB78D2F" w14:textId="77777777">
            <w:pPr>
              <w:rPr>
                <w:sz w:val="22"/>
                <w:szCs w:val="22"/>
              </w:rPr>
            </w:pPr>
          </w:p>
        </w:tc>
      </w:tr>
      <w:tr w:rsidR="00844692" w:rsidTr="08403B98" w14:paraId="4EC5E206" w14:textId="77777777">
        <w:tc>
          <w:tcPr>
            <w:tcW w:w="4144" w:type="dxa"/>
            <w:tcMar/>
          </w:tcPr>
          <w:p w:rsidRPr="00844692" w:rsidR="00844692" w:rsidP="00551B00" w:rsidRDefault="00844692" w14:paraId="564DD026" w14:textId="378F554F">
            <w:pPr>
              <w:rPr>
                <w:sz w:val="22"/>
                <w:szCs w:val="22"/>
              </w:rPr>
            </w:pPr>
            <w:r w:rsidRPr="00844692">
              <w:rPr>
                <w:sz w:val="22"/>
                <w:szCs w:val="22"/>
              </w:rPr>
              <w:t>Do women receive NFIs that promote their dignity, hygiene and safety?</w:t>
            </w:r>
          </w:p>
        </w:tc>
        <w:tc>
          <w:tcPr>
            <w:tcW w:w="765" w:type="dxa"/>
            <w:tcMar/>
          </w:tcPr>
          <w:p w:rsidRPr="00EB5B0F" w:rsidR="00844692" w:rsidP="00551B00" w:rsidRDefault="00844692" w14:paraId="02372670" w14:textId="77777777">
            <w:pPr>
              <w:rPr>
                <w:sz w:val="22"/>
                <w:szCs w:val="22"/>
              </w:rPr>
            </w:pPr>
          </w:p>
        </w:tc>
        <w:tc>
          <w:tcPr>
            <w:tcW w:w="630" w:type="dxa"/>
            <w:tcMar/>
          </w:tcPr>
          <w:p w:rsidRPr="00EB5B0F" w:rsidR="00844692" w:rsidP="00551B00" w:rsidRDefault="00844692" w14:paraId="18CA47FE" w14:textId="77777777">
            <w:pPr>
              <w:rPr>
                <w:sz w:val="22"/>
                <w:szCs w:val="22"/>
              </w:rPr>
            </w:pPr>
          </w:p>
        </w:tc>
        <w:tc>
          <w:tcPr>
            <w:tcW w:w="3811" w:type="dxa"/>
            <w:tcMar/>
          </w:tcPr>
          <w:p w:rsidRPr="00EB5B0F" w:rsidR="00844692" w:rsidP="00551B00" w:rsidRDefault="00844692" w14:paraId="2338A2AF" w14:textId="77777777">
            <w:pPr>
              <w:rPr>
                <w:sz w:val="22"/>
                <w:szCs w:val="22"/>
              </w:rPr>
            </w:pPr>
          </w:p>
        </w:tc>
      </w:tr>
      <w:tr w:rsidR="00844692" w:rsidTr="08403B98" w14:paraId="3AA279C3" w14:textId="77777777">
        <w:tc>
          <w:tcPr>
            <w:tcW w:w="4144" w:type="dxa"/>
            <w:tcMar/>
          </w:tcPr>
          <w:p w:rsidRPr="00EB5B0F" w:rsidR="00844692" w:rsidP="00551B00" w:rsidRDefault="00844692" w14:paraId="64EDCF6E" w14:textId="701BBD68">
            <w:pPr>
              <w:rPr>
                <w:sz w:val="22"/>
                <w:szCs w:val="22"/>
              </w:rPr>
            </w:pPr>
            <w:r>
              <w:rPr>
                <w:sz w:val="22"/>
                <w:szCs w:val="22"/>
              </w:rPr>
              <w:t>Is cooking fuel being provided?</w:t>
            </w:r>
          </w:p>
        </w:tc>
        <w:tc>
          <w:tcPr>
            <w:tcW w:w="765" w:type="dxa"/>
            <w:tcMar/>
          </w:tcPr>
          <w:p w:rsidRPr="00EB5B0F" w:rsidR="00844692" w:rsidP="00551B00" w:rsidRDefault="00844692" w14:paraId="123B9278" w14:textId="77777777">
            <w:pPr>
              <w:rPr>
                <w:sz w:val="22"/>
                <w:szCs w:val="22"/>
              </w:rPr>
            </w:pPr>
          </w:p>
        </w:tc>
        <w:tc>
          <w:tcPr>
            <w:tcW w:w="630" w:type="dxa"/>
            <w:tcMar/>
          </w:tcPr>
          <w:p w:rsidRPr="00EB5B0F" w:rsidR="00844692" w:rsidP="00551B00" w:rsidRDefault="00844692" w14:paraId="126EC177" w14:textId="77777777">
            <w:pPr>
              <w:rPr>
                <w:sz w:val="22"/>
                <w:szCs w:val="22"/>
              </w:rPr>
            </w:pPr>
          </w:p>
        </w:tc>
        <w:tc>
          <w:tcPr>
            <w:tcW w:w="3811" w:type="dxa"/>
            <w:tcMar/>
          </w:tcPr>
          <w:p w:rsidRPr="00EB5B0F" w:rsidR="00844692" w:rsidP="00551B00" w:rsidRDefault="00844692" w14:paraId="3E00AABA" w14:textId="77777777">
            <w:pPr>
              <w:rPr>
                <w:sz w:val="22"/>
                <w:szCs w:val="22"/>
              </w:rPr>
            </w:pPr>
          </w:p>
        </w:tc>
      </w:tr>
      <w:tr w:rsidR="00844692" w:rsidTr="08403B98" w14:paraId="711A5C7C" w14:textId="77777777">
        <w:tc>
          <w:tcPr>
            <w:tcW w:w="4144" w:type="dxa"/>
            <w:tcMar/>
          </w:tcPr>
          <w:p w:rsidRPr="00EB5B0F" w:rsidR="00844692" w:rsidP="00551B00" w:rsidRDefault="00844692" w14:paraId="49FD9145" w14:textId="77777777">
            <w:pPr>
              <w:rPr>
                <w:sz w:val="22"/>
                <w:szCs w:val="22"/>
              </w:rPr>
            </w:pPr>
          </w:p>
        </w:tc>
        <w:tc>
          <w:tcPr>
            <w:tcW w:w="765" w:type="dxa"/>
            <w:tcMar/>
          </w:tcPr>
          <w:p w:rsidRPr="00EB5B0F" w:rsidR="00844692" w:rsidP="00551B00" w:rsidRDefault="00844692" w14:paraId="1FBAE21B" w14:textId="77777777">
            <w:pPr>
              <w:rPr>
                <w:sz w:val="22"/>
                <w:szCs w:val="22"/>
              </w:rPr>
            </w:pPr>
          </w:p>
        </w:tc>
        <w:tc>
          <w:tcPr>
            <w:tcW w:w="630" w:type="dxa"/>
            <w:tcMar/>
          </w:tcPr>
          <w:p w:rsidRPr="00EB5B0F" w:rsidR="00844692" w:rsidP="00551B00" w:rsidRDefault="00844692" w14:paraId="5F80D7B6" w14:textId="77777777">
            <w:pPr>
              <w:rPr>
                <w:sz w:val="22"/>
                <w:szCs w:val="22"/>
              </w:rPr>
            </w:pPr>
          </w:p>
        </w:tc>
        <w:tc>
          <w:tcPr>
            <w:tcW w:w="3811" w:type="dxa"/>
            <w:tcMar/>
          </w:tcPr>
          <w:p w:rsidRPr="00EB5B0F" w:rsidR="00844692" w:rsidP="00551B00" w:rsidRDefault="00844692" w14:paraId="6CE039E8" w14:textId="77777777">
            <w:pPr>
              <w:rPr>
                <w:sz w:val="22"/>
                <w:szCs w:val="22"/>
              </w:rPr>
            </w:pPr>
          </w:p>
        </w:tc>
      </w:tr>
      <w:tr w:rsidR="00844692" w:rsidTr="08403B98" w14:paraId="2312A837" w14:textId="77777777">
        <w:tc>
          <w:tcPr>
            <w:tcW w:w="4144" w:type="dxa"/>
            <w:tcMar/>
          </w:tcPr>
          <w:p w:rsidRPr="00EB5B0F" w:rsidR="00844692" w:rsidP="00551B00" w:rsidRDefault="00844692" w14:paraId="1B5AEDC5" w14:textId="77777777">
            <w:pPr>
              <w:rPr>
                <w:sz w:val="22"/>
                <w:szCs w:val="22"/>
              </w:rPr>
            </w:pPr>
          </w:p>
        </w:tc>
        <w:tc>
          <w:tcPr>
            <w:tcW w:w="765" w:type="dxa"/>
            <w:tcMar/>
          </w:tcPr>
          <w:p w:rsidRPr="00EB5B0F" w:rsidR="00844692" w:rsidP="00551B00" w:rsidRDefault="00844692" w14:paraId="0A6067A0" w14:textId="77777777">
            <w:pPr>
              <w:rPr>
                <w:sz w:val="22"/>
                <w:szCs w:val="22"/>
              </w:rPr>
            </w:pPr>
          </w:p>
        </w:tc>
        <w:tc>
          <w:tcPr>
            <w:tcW w:w="630" w:type="dxa"/>
            <w:tcMar/>
          </w:tcPr>
          <w:p w:rsidRPr="00EB5B0F" w:rsidR="00844692" w:rsidP="00551B00" w:rsidRDefault="00844692" w14:paraId="2F741C6C" w14:textId="77777777">
            <w:pPr>
              <w:rPr>
                <w:sz w:val="22"/>
                <w:szCs w:val="22"/>
              </w:rPr>
            </w:pPr>
          </w:p>
        </w:tc>
        <w:tc>
          <w:tcPr>
            <w:tcW w:w="3811" w:type="dxa"/>
            <w:tcMar/>
          </w:tcPr>
          <w:p w:rsidRPr="00EB5B0F" w:rsidR="00844692" w:rsidP="00551B00" w:rsidRDefault="00844692" w14:paraId="14733706" w14:textId="77777777">
            <w:pPr>
              <w:rPr>
                <w:sz w:val="22"/>
                <w:szCs w:val="22"/>
              </w:rPr>
            </w:pPr>
          </w:p>
        </w:tc>
      </w:tr>
      <w:tr w:rsidR="00551B00" w:rsidTr="08403B98" w14:paraId="684F1F5E" w14:textId="77777777">
        <w:tc>
          <w:tcPr>
            <w:tcW w:w="9350" w:type="dxa"/>
            <w:gridSpan w:val="4"/>
            <w:shd w:val="clear" w:color="auto" w:fill="FAE2D5" w:themeFill="accent2" w:themeFillTint="33"/>
            <w:tcMar/>
          </w:tcPr>
          <w:p w:rsidRPr="005B79F6" w:rsidR="00551B00" w:rsidP="00551B00" w:rsidRDefault="00551B00" w14:paraId="585C4EFD" w14:textId="77777777">
            <w:pPr>
              <w:rPr>
                <w:b/>
                <w:bCs/>
              </w:rPr>
            </w:pPr>
            <w:r w:rsidRPr="005B79F6">
              <w:rPr>
                <w:b/>
                <w:bCs/>
              </w:rPr>
              <w:t>Participation</w:t>
            </w:r>
          </w:p>
        </w:tc>
      </w:tr>
      <w:tr w:rsidR="00551B00" w:rsidTr="08403B98" w14:paraId="7BF565BC" w14:textId="77777777">
        <w:tc>
          <w:tcPr>
            <w:tcW w:w="4144" w:type="dxa"/>
            <w:tcMar/>
          </w:tcPr>
          <w:p w:rsidRPr="00EB5B0F" w:rsidR="00551B00" w:rsidP="00551B00" w:rsidRDefault="00551B00" w14:paraId="3E7342B9" w14:textId="5D0D98A5">
            <w:pPr>
              <w:rPr>
                <w:sz w:val="22"/>
                <w:szCs w:val="22"/>
              </w:rPr>
            </w:pPr>
            <w:r w:rsidRPr="00EB5B0F">
              <w:rPr>
                <w:sz w:val="22"/>
                <w:szCs w:val="22"/>
              </w:rPr>
              <w:t xml:space="preserve">Are women involved in </w:t>
            </w:r>
            <w:r>
              <w:rPr>
                <w:sz w:val="22"/>
                <w:szCs w:val="22"/>
              </w:rPr>
              <w:t>shelter-related</w:t>
            </w:r>
            <w:r w:rsidRPr="00EB5B0F">
              <w:rPr>
                <w:sz w:val="22"/>
                <w:szCs w:val="22"/>
              </w:rPr>
              <w:t xml:space="preserve"> decision-making and governance structures?</w:t>
            </w:r>
          </w:p>
        </w:tc>
        <w:tc>
          <w:tcPr>
            <w:tcW w:w="765" w:type="dxa"/>
            <w:tcMar/>
          </w:tcPr>
          <w:p w:rsidRPr="00EB5B0F" w:rsidR="00551B00" w:rsidP="00551B00" w:rsidRDefault="00551B00" w14:paraId="66D38A6C" w14:textId="77777777">
            <w:pPr>
              <w:rPr>
                <w:sz w:val="22"/>
                <w:szCs w:val="22"/>
              </w:rPr>
            </w:pPr>
          </w:p>
        </w:tc>
        <w:tc>
          <w:tcPr>
            <w:tcW w:w="630" w:type="dxa"/>
            <w:tcMar/>
          </w:tcPr>
          <w:p w:rsidRPr="00EB5B0F" w:rsidR="00551B00" w:rsidP="00551B00" w:rsidRDefault="00551B00" w14:paraId="5C723B8E" w14:textId="77777777">
            <w:pPr>
              <w:rPr>
                <w:sz w:val="22"/>
                <w:szCs w:val="22"/>
              </w:rPr>
            </w:pPr>
          </w:p>
        </w:tc>
        <w:tc>
          <w:tcPr>
            <w:tcW w:w="3811" w:type="dxa"/>
            <w:tcMar/>
          </w:tcPr>
          <w:p w:rsidRPr="00EB5B0F" w:rsidR="00551B00" w:rsidP="00551B00" w:rsidRDefault="00551B00" w14:paraId="2563AD20" w14:textId="77777777">
            <w:pPr>
              <w:rPr>
                <w:sz w:val="22"/>
                <w:szCs w:val="22"/>
              </w:rPr>
            </w:pPr>
          </w:p>
        </w:tc>
      </w:tr>
      <w:tr w:rsidR="283D6D95" w:rsidTr="08403B98" w14:paraId="32AE1BAF">
        <w:trPr>
          <w:trHeight w:val="300"/>
        </w:trPr>
        <w:tc>
          <w:tcPr>
            <w:tcW w:w="4144" w:type="dxa"/>
            <w:tcMar/>
          </w:tcPr>
          <w:p w:rsidR="283D6D95" w:rsidP="283D6D95" w:rsidRDefault="283D6D95" w14:paraId="6E6FDE62" w14:textId="62EC151B">
            <w:pPr>
              <w:pStyle w:val="Normal"/>
              <w:rPr>
                <w:sz w:val="22"/>
                <w:szCs w:val="22"/>
              </w:rPr>
            </w:pPr>
          </w:p>
        </w:tc>
        <w:tc>
          <w:tcPr>
            <w:tcW w:w="765" w:type="dxa"/>
            <w:tcMar/>
          </w:tcPr>
          <w:p w:rsidR="283D6D95" w:rsidP="283D6D95" w:rsidRDefault="283D6D95" w14:paraId="369B92BB" w14:textId="3DC10EFB">
            <w:pPr>
              <w:pStyle w:val="Normal"/>
              <w:rPr>
                <w:sz w:val="22"/>
                <w:szCs w:val="22"/>
              </w:rPr>
            </w:pPr>
          </w:p>
        </w:tc>
        <w:tc>
          <w:tcPr>
            <w:tcW w:w="630" w:type="dxa"/>
            <w:tcMar/>
          </w:tcPr>
          <w:p w:rsidR="283D6D95" w:rsidP="283D6D95" w:rsidRDefault="283D6D95" w14:paraId="25364423" w14:textId="21E9B3BE">
            <w:pPr>
              <w:pStyle w:val="Normal"/>
              <w:rPr>
                <w:sz w:val="22"/>
                <w:szCs w:val="22"/>
              </w:rPr>
            </w:pPr>
          </w:p>
        </w:tc>
        <w:tc>
          <w:tcPr>
            <w:tcW w:w="3811" w:type="dxa"/>
            <w:tcMar/>
          </w:tcPr>
          <w:p w:rsidR="283D6D95" w:rsidP="283D6D95" w:rsidRDefault="283D6D95" w14:paraId="4187B540" w14:textId="6CAF95EE">
            <w:pPr>
              <w:pStyle w:val="Normal"/>
              <w:rPr>
                <w:sz w:val="22"/>
                <w:szCs w:val="22"/>
              </w:rPr>
            </w:pPr>
          </w:p>
        </w:tc>
      </w:tr>
    </w:tbl>
    <w:p w:rsidR="006E6B8C" w:rsidRDefault="006E6B8C" w14:paraId="6048B852" w14:textId="77777777"/>
    <w:sectPr w:rsidR="006E6B8C" w:rsidSect="001322D3">
      <w:pgSz w:w="12240" w:h="15840" w:orient="portrait"/>
      <w:pgMar w:top="1440" w:right="1440" w:bottom="1350" w:left="1440" w:header="720" w:footer="720" w:gutter="0"/>
      <w:cols w:space="720"/>
      <w:docGrid w:linePitch="360"/>
      <w:titlePg w:val="1"/>
      <w:headerReference w:type="default" r:id="Rc3cb52e110f34774"/>
      <w:headerReference w:type="first" r:id="R94bb038737134d14"/>
      <w:footerReference w:type="default" r:id="Rd16f7ca0c93548f4"/>
      <w:footerReference w:type="first" r:id="Rbf062a7048ca414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8403B98" w:rsidTr="08403B98" w14:paraId="0F509A07">
      <w:trPr>
        <w:trHeight w:val="300"/>
      </w:trPr>
      <w:tc>
        <w:tcPr>
          <w:tcW w:w="3120" w:type="dxa"/>
          <w:tcMar/>
        </w:tcPr>
        <w:p w:rsidR="08403B98" w:rsidP="08403B98" w:rsidRDefault="08403B98" w14:paraId="06A129DE" w14:textId="496DE85D">
          <w:pPr>
            <w:pStyle w:val="Header"/>
            <w:bidi w:val="0"/>
            <w:ind w:left="-115"/>
            <w:jc w:val="left"/>
          </w:pPr>
        </w:p>
      </w:tc>
      <w:tc>
        <w:tcPr>
          <w:tcW w:w="3120" w:type="dxa"/>
          <w:tcMar/>
        </w:tcPr>
        <w:p w:rsidR="08403B98" w:rsidP="08403B98" w:rsidRDefault="08403B98" w14:paraId="7F38BDB9" w14:textId="7E0E8719">
          <w:pPr>
            <w:pStyle w:val="Header"/>
            <w:bidi w:val="0"/>
            <w:jc w:val="center"/>
          </w:pPr>
        </w:p>
      </w:tc>
      <w:tc>
        <w:tcPr>
          <w:tcW w:w="3120" w:type="dxa"/>
          <w:tcMar/>
        </w:tcPr>
        <w:p w:rsidR="08403B98" w:rsidP="08403B98" w:rsidRDefault="08403B98" w14:paraId="50758AEB" w14:textId="15EF05BF">
          <w:pPr>
            <w:pStyle w:val="Header"/>
            <w:bidi w:val="0"/>
            <w:ind w:right="-115"/>
            <w:jc w:val="right"/>
          </w:pPr>
        </w:p>
      </w:tc>
    </w:tr>
  </w:tbl>
  <w:p w:rsidR="08403B98" w:rsidP="08403B98" w:rsidRDefault="08403B98" w14:paraId="129A4580" w14:textId="20A5F6B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8403B98" w:rsidTr="08403B98" w14:paraId="23C09D25">
      <w:trPr>
        <w:trHeight w:val="300"/>
      </w:trPr>
      <w:tc>
        <w:tcPr>
          <w:tcW w:w="3120" w:type="dxa"/>
          <w:tcMar/>
        </w:tcPr>
        <w:p w:rsidR="08403B98" w:rsidP="08403B98" w:rsidRDefault="08403B98" w14:paraId="060E3B1D" w14:textId="0D0A6572">
          <w:pPr>
            <w:pStyle w:val="Header"/>
            <w:bidi w:val="0"/>
            <w:ind w:left="-115"/>
            <w:jc w:val="left"/>
          </w:pPr>
        </w:p>
      </w:tc>
      <w:tc>
        <w:tcPr>
          <w:tcW w:w="3120" w:type="dxa"/>
          <w:tcMar/>
        </w:tcPr>
        <w:p w:rsidR="08403B98" w:rsidP="08403B98" w:rsidRDefault="08403B98" w14:paraId="1694F7A4" w14:textId="39D5D813">
          <w:pPr>
            <w:pStyle w:val="Header"/>
            <w:bidi w:val="0"/>
            <w:jc w:val="center"/>
          </w:pPr>
        </w:p>
      </w:tc>
      <w:tc>
        <w:tcPr>
          <w:tcW w:w="3120" w:type="dxa"/>
          <w:tcMar/>
        </w:tcPr>
        <w:p w:rsidR="08403B98" w:rsidP="08403B98" w:rsidRDefault="08403B98" w14:paraId="1D226D8A" w14:textId="23DDA66E">
          <w:pPr>
            <w:pStyle w:val="Header"/>
            <w:bidi w:val="0"/>
            <w:ind w:right="-115"/>
            <w:jc w:val="right"/>
          </w:pPr>
        </w:p>
      </w:tc>
    </w:tr>
  </w:tbl>
  <w:p w:rsidR="08403B98" w:rsidP="08403B98" w:rsidRDefault="08403B98" w14:paraId="1D9E29B0" w14:textId="29C4FC64">
    <w:pPr>
      <w:pStyle w:val="Footer"/>
      <w:bidi w:val="0"/>
    </w:pPr>
  </w:p>
</w:ftr>
</file>

<file path=word/footnotes.xml><?xml version="1.0" encoding="utf-8"?>
<w:footnotes xmlns:w14="http://schemas.microsoft.com/office/word/2010/wordml" xmlns:w="http://schemas.openxmlformats.org/wordprocessingml/2006/main">
  <w:footnote w:type="separator" w:id="-1">
    <w:p w:rsidR="08403B98" w:rsidRDefault="08403B98" w14:paraId="3FD8F196" w14:textId="2B5CF787">
      <w:pPr>
        <w:spacing w:after="0" w:line="240" w:lineRule="auto"/>
      </w:pPr>
      <w:r>
        <w:separator/>
      </w:r>
    </w:p>
  </w:footnote>
  <w:footnote w:type="continuationSeparator" w:id="0">
    <w:p w:rsidR="08403B98" w:rsidRDefault="08403B98" w14:paraId="5209BB3B" w14:textId="2EB7FF83">
      <w:pPr>
        <w:spacing w:after="0" w:line="240" w:lineRule="auto"/>
      </w:pPr>
      <w:r>
        <w:continuationSeparator/>
      </w:r>
    </w:p>
  </w:footnote>
  <w:footnote w:id="8204">
    <w:p w:rsidR="08403B98" w:rsidP="08403B98" w:rsidRDefault="08403B98" w14:paraId="79CE1C3A" w14:textId="2A8549DF">
      <w:pPr>
        <w:pStyle w:val="FootnoteText"/>
        <w:bidi w:val="0"/>
        <w:spacing w:before="0" w:beforeAutospacing="off" w:after="160" w:afterAutospacing="off" w:line="230" w:lineRule="auto"/>
      </w:pPr>
      <w:r w:rsidRPr="08403B98">
        <w:rPr>
          <w:rStyle w:val="FootnoteReference"/>
        </w:rPr>
        <w:footnoteRef/>
      </w:r>
      <w:r w:rsidR="08403B98">
        <w:rPr/>
        <w:t xml:space="preserve"> </w:t>
      </w:r>
      <w:r w:rsidRPr="08403B98" w:rsidR="08403B98">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8403B98" w:rsidTr="08403B98" w14:paraId="7901EF55">
      <w:trPr>
        <w:trHeight w:val="300"/>
      </w:trPr>
      <w:tc>
        <w:tcPr>
          <w:tcW w:w="3120" w:type="dxa"/>
          <w:tcMar/>
        </w:tcPr>
        <w:p w:rsidR="08403B98" w:rsidP="08403B98" w:rsidRDefault="08403B98" w14:paraId="434F5560" w14:textId="76FA4044">
          <w:pPr>
            <w:pStyle w:val="Header"/>
            <w:bidi w:val="0"/>
            <w:ind w:left="-115"/>
            <w:jc w:val="left"/>
          </w:pPr>
        </w:p>
      </w:tc>
      <w:tc>
        <w:tcPr>
          <w:tcW w:w="3120" w:type="dxa"/>
          <w:tcMar/>
        </w:tcPr>
        <w:p w:rsidR="08403B98" w:rsidP="08403B98" w:rsidRDefault="08403B98" w14:paraId="1D2A0885" w14:textId="7455308D">
          <w:pPr>
            <w:pStyle w:val="Header"/>
            <w:bidi w:val="0"/>
            <w:jc w:val="center"/>
          </w:pPr>
        </w:p>
      </w:tc>
      <w:tc>
        <w:tcPr>
          <w:tcW w:w="3120" w:type="dxa"/>
          <w:tcMar/>
        </w:tcPr>
        <w:p w:rsidR="08403B98" w:rsidP="08403B98" w:rsidRDefault="08403B98" w14:paraId="2B00B19E" w14:textId="17C159D0">
          <w:pPr>
            <w:pStyle w:val="Header"/>
            <w:bidi w:val="0"/>
            <w:ind w:right="-115"/>
            <w:jc w:val="right"/>
          </w:pPr>
        </w:p>
      </w:tc>
    </w:tr>
  </w:tbl>
  <w:p w:rsidR="08403B98" w:rsidP="08403B98" w:rsidRDefault="08403B98" w14:paraId="355DE51D" w14:textId="113E8C92">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08403B98" w:rsidTr="08403B98" w14:paraId="0348207C">
      <w:trPr>
        <w:trHeight w:val="300"/>
      </w:trPr>
      <w:tc>
        <w:tcPr>
          <w:tcW w:w="9360" w:type="dxa"/>
          <w:tcMar/>
        </w:tcPr>
        <w:p w:rsidR="08403B98" w:rsidP="08403B98" w:rsidRDefault="08403B98" w14:paraId="1C7D7A1A" w14:textId="2D64E2B0">
          <w:pPr>
            <w:pStyle w:val="Header"/>
            <w:bidi w:val="0"/>
            <w:ind w:left="-115"/>
            <w:jc w:val="left"/>
          </w:pPr>
          <w:r w:rsidR="08403B98">
            <w:drawing>
              <wp:inline wp14:editId="25B39702" wp14:anchorId="49FEBE75">
                <wp:extent cx="5810250" cy="762000"/>
                <wp:effectExtent l="0" t="0" r="0" b="0"/>
                <wp:docPr id="1050025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5002582" name="Picture 10500258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8644396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08403B98" w:rsidP="08403B98" w:rsidRDefault="08403B98" w14:paraId="48C8E94B" w14:textId="5D2BD896">
    <w:pPr>
      <w:pStyle w:val="Header"/>
      <w:bidi w:val="0"/>
    </w:pPr>
  </w:p>
</w:hdr>
</file>

<file path=word/numbering.xml><?xml version="1.0" encoding="utf-8"?>
<w:numbering xmlns:w="http://schemas.openxmlformats.org/wordprocessingml/2006/main">
  <w:abstractNum xmlns:w="http://schemas.openxmlformats.org/wordprocessingml/2006/main" w:abstractNumId="2">
    <w:nsid w:val="220c6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a732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D6"/>
    <w:rsid w:val="000C3289"/>
    <w:rsid w:val="001322D3"/>
    <w:rsid w:val="0014453F"/>
    <w:rsid w:val="00551B00"/>
    <w:rsid w:val="006E6B8C"/>
    <w:rsid w:val="00757634"/>
    <w:rsid w:val="00844692"/>
    <w:rsid w:val="00A863B7"/>
    <w:rsid w:val="00D0059F"/>
    <w:rsid w:val="00D320A5"/>
    <w:rsid w:val="00DA64D6"/>
    <w:rsid w:val="00F267B0"/>
    <w:rsid w:val="03A0EE4C"/>
    <w:rsid w:val="08403B98"/>
    <w:rsid w:val="08A9B208"/>
    <w:rsid w:val="10ECF73C"/>
    <w:rsid w:val="11658FC3"/>
    <w:rsid w:val="11BF348E"/>
    <w:rsid w:val="1288C5EE"/>
    <w:rsid w:val="15DC7347"/>
    <w:rsid w:val="2042BA7C"/>
    <w:rsid w:val="283D6D95"/>
    <w:rsid w:val="2AD1BB6E"/>
    <w:rsid w:val="3150849C"/>
    <w:rsid w:val="3B7A5AAC"/>
    <w:rsid w:val="3B7A5AAC"/>
    <w:rsid w:val="3C75DD64"/>
    <w:rsid w:val="3D6D04EA"/>
    <w:rsid w:val="52BA220F"/>
    <w:rsid w:val="54630341"/>
    <w:rsid w:val="58635CB6"/>
    <w:rsid w:val="5A139AB6"/>
    <w:rsid w:val="5EF5ED09"/>
    <w:rsid w:val="66500B45"/>
    <w:rsid w:val="66588C0A"/>
    <w:rsid w:val="697160C4"/>
    <w:rsid w:val="6AE0B746"/>
    <w:rsid w:val="7F44D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7046"/>
  <w15:chartTrackingRefBased/>
  <w15:docId w15:val="{9D197E82-E1CE-924C-A2E7-216B587EDCDB}"/>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64D6"/>
  </w:style>
  <w:style w:type="paragraph" w:styleId="Heading1">
    <w:name w:val="heading 1"/>
    <w:basedOn w:val="Normal"/>
    <w:next w:val="Normal"/>
    <w:link w:val="Heading1Char"/>
    <w:uiPriority w:val="9"/>
    <w:qFormat/>
    <w:rsid w:val="00DA64D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4D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D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64D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A64D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A64D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64D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64D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64D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64D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64D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64D6"/>
    <w:rPr>
      <w:rFonts w:eastAsiaTheme="majorEastAsia" w:cstheme="majorBidi"/>
      <w:color w:val="272727" w:themeColor="text1" w:themeTint="D8"/>
    </w:rPr>
  </w:style>
  <w:style w:type="paragraph" w:styleId="Title">
    <w:name w:val="Title"/>
    <w:basedOn w:val="Normal"/>
    <w:next w:val="Normal"/>
    <w:link w:val="TitleChar"/>
    <w:uiPriority w:val="10"/>
    <w:qFormat/>
    <w:rsid w:val="00DA64D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64D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64D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6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D6"/>
    <w:pPr>
      <w:spacing w:before="160"/>
      <w:jc w:val="center"/>
    </w:pPr>
    <w:rPr>
      <w:i/>
      <w:iCs/>
      <w:color w:val="404040" w:themeColor="text1" w:themeTint="BF"/>
    </w:rPr>
  </w:style>
  <w:style w:type="character" w:styleId="QuoteChar" w:customStyle="1">
    <w:name w:val="Quote Char"/>
    <w:basedOn w:val="DefaultParagraphFont"/>
    <w:link w:val="Quote"/>
    <w:uiPriority w:val="29"/>
    <w:rsid w:val="00DA64D6"/>
    <w:rPr>
      <w:i/>
      <w:iCs/>
      <w:color w:val="404040" w:themeColor="text1" w:themeTint="BF"/>
    </w:rPr>
  </w:style>
  <w:style w:type="paragraph" w:styleId="ListParagraph">
    <w:name w:val="List Paragraph"/>
    <w:basedOn w:val="Normal"/>
    <w:uiPriority w:val="34"/>
    <w:qFormat/>
    <w:rsid w:val="00DA64D6"/>
    <w:pPr>
      <w:ind w:left="720"/>
      <w:contextualSpacing/>
    </w:pPr>
  </w:style>
  <w:style w:type="character" w:styleId="IntenseEmphasis">
    <w:name w:val="Intense Emphasis"/>
    <w:basedOn w:val="DefaultParagraphFont"/>
    <w:uiPriority w:val="21"/>
    <w:qFormat/>
    <w:rsid w:val="00DA64D6"/>
    <w:rPr>
      <w:i/>
      <w:iCs/>
      <w:color w:val="0F4761" w:themeColor="accent1" w:themeShade="BF"/>
    </w:rPr>
  </w:style>
  <w:style w:type="paragraph" w:styleId="IntenseQuote">
    <w:name w:val="Intense Quote"/>
    <w:basedOn w:val="Normal"/>
    <w:next w:val="Normal"/>
    <w:link w:val="IntenseQuoteChar"/>
    <w:uiPriority w:val="30"/>
    <w:qFormat/>
    <w:rsid w:val="00DA64D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64D6"/>
    <w:rPr>
      <w:i/>
      <w:iCs/>
      <w:color w:val="0F4761" w:themeColor="accent1" w:themeShade="BF"/>
    </w:rPr>
  </w:style>
  <w:style w:type="character" w:styleId="IntenseReference">
    <w:name w:val="Intense Reference"/>
    <w:basedOn w:val="DefaultParagraphFont"/>
    <w:uiPriority w:val="32"/>
    <w:qFormat/>
    <w:rsid w:val="00DA64D6"/>
    <w:rPr>
      <w:b/>
      <w:bCs/>
      <w:smallCaps/>
      <w:color w:val="0F4761" w:themeColor="accent1" w:themeShade="BF"/>
      <w:spacing w:val="5"/>
    </w:rPr>
  </w:style>
  <w:style w:type="paragraph" w:styleId="Default" w:customStyle="1">
    <w:name w:val="Default"/>
    <w:rsid w:val="00D320A5"/>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5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283D6D95"/>
    <w:rPr>
      <w:color w:val="467886"/>
      <w:u w:val="single"/>
    </w:rPr>
  </w:style>
  <w:style w:type="paragraph" w:styleId="Header">
    <w:uiPriority w:val="99"/>
    <w:name w:val="header"/>
    <w:basedOn w:val="Normal"/>
    <w:unhideWhenUsed/>
    <w:rsid w:val="08403B98"/>
    <w:pPr>
      <w:tabs>
        <w:tab w:val="center" w:leader="none" w:pos="4680"/>
        <w:tab w:val="right" w:leader="none" w:pos="9360"/>
      </w:tabs>
      <w:spacing w:after="0" w:line="240" w:lineRule="auto"/>
    </w:pPr>
  </w:style>
  <w:style w:type="paragraph" w:styleId="Footer">
    <w:uiPriority w:val="99"/>
    <w:name w:val="footer"/>
    <w:basedOn w:val="Normal"/>
    <w:unhideWhenUsed/>
    <w:rsid w:val="08403B98"/>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08403B98"/>
    <w:rPr>
      <w:sz w:val="20"/>
      <w:szCs w:val="20"/>
    </w:rPr>
    <w:pPr>
      <w:spacing w:after="0" w:line="240" w:lineRule="auto"/>
    </w:pPr>
  </w:style>
  <w:style w:type="character" w:styleId="FootnoteReference">
    <w:uiPriority w:val="99"/>
    <w:name w:val="footnote reference"/>
    <w:basedOn w:val="DefaultParagraphFont"/>
    <w:semiHidden/>
    <w:unhideWhenUsed/>
    <w:rsid w:val="08403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d37ef764f7594b31" /><Relationship Type="http://schemas.microsoft.com/office/2011/relationships/commentsExtended" Target="commentsExtended.xml" Id="Rd1da5b09492f4130" /><Relationship Type="http://schemas.microsoft.com/office/2016/09/relationships/commentsIds" Target="commentsIds.xml" Id="R036f65ff11a44802" /><Relationship Type="http://schemas.openxmlformats.org/officeDocument/2006/relationships/hyperlink" Target="https://gbvguidelines.org/document/mapping-of-safety-audit-tools-and-reports/" TargetMode="External" Id="R40866fd820594ca6" /><Relationship Type="http://schemas.openxmlformats.org/officeDocument/2006/relationships/numbering" Target="numbering.xml" Id="R7a9b0700b6db471f" /><Relationship Type="http://schemas.openxmlformats.org/officeDocument/2006/relationships/hyperlink" Target="https://gbvguidelines.org/sp-toolkit/start/" TargetMode="External" Id="R5e7a1592aeaa4350" /><Relationship Type="http://schemas.openxmlformats.org/officeDocument/2006/relationships/hyperlink" Target="https://gbvguidelines.org/wp/wp-content/uploads/2026/01/FGD-Safety-Perceptions_template.docx" TargetMode="External" Id="Rb1e575bc00ce419b" /><Relationship Type="http://schemas.openxmlformats.org/officeDocument/2006/relationships/hyperlink" Target="https://gbvguidelines.org/wp/wp-content/uploads/2026/01/FGD-Service-Access-and-Barriers_template.docx" TargetMode="External" Id="R50e55fd7a1f54bc8" /><Relationship Type="http://schemas.openxmlformats.org/officeDocument/2006/relationships/hyperlink" Target="https://gbvguidelines.org/wp/wp-content/uploads/2026/01/KII-Guide_Safety-Perceptions_community-members.docx" TargetMode="External" Id="R32a5af3f919a48b0" /><Relationship Type="http://schemas.openxmlformats.org/officeDocument/2006/relationships/hyperlink" Target="https://gbvguidelines.org/wp/wp-content/uploads/2025/12/Tipsheet-for-non-GBV-specialists-on-asking-safety-related-questions.docx" TargetMode="External" Id="Rdb349d2874bf424b" /><Relationship Type="http://schemas.openxmlformats.org/officeDocument/2006/relationships/hyperlink" Target="https://care.disco.co/p/for-do-no-harm-in-practice-toolkit-responding-to-gender-based-violence-disc&#8230;" TargetMode="External" Id="Rceafcb747a9d4c58" /><Relationship Type="http://schemas.openxmlformats.org/officeDocument/2006/relationships/header" Target="header.xml" Id="Rc3cb52e110f34774" /><Relationship Type="http://schemas.openxmlformats.org/officeDocument/2006/relationships/header" Target="header2.xml" Id="R94bb038737134d14" /><Relationship Type="http://schemas.openxmlformats.org/officeDocument/2006/relationships/footer" Target="footer.xml" Id="Rd16f7ca0c93548f4" /><Relationship Type="http://schemas.openxmlformats.org/officeDocument/2006/relationships/footer" Target="footer2.xml" Id="Rbf062a7048ca4140" /><Relationship Type="http://schemas.openxmlformats.org/officeDocument/2006/relationships/footnotes" Target="footnotes.xml" Id="R072f84a3e8dc498a" /></Relationships>
</file>

<file path=word/_rels/header2.xml.rels>&#65279;<?xml version="1.0" encoding="utf-8"?><Relationships xmlns="http://schemas.openxmlformats.org/package/2006/relationships"><Relationship Type="http://schemas.openxmlformats.org/officeDocument/2006/relationships/image" Target="/media/image.jpg" Id="rId6864439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8</revision>
  <dcterms:created xsi:type="dcterms:W3CDTF">2025-10-01T17:27:00.0000000Z</dcterms:created>
  <dcterms:modified xsi:type="dcterms:W3CDTF">2026-02-27T22:29:49.0679959Z</dcterms:modified>
</coreProperties>
</file>