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401" w:rsidR="00053C71" w:rsidP="56327B7A" w:rsidRDefault="00053C71" w14:paraId="73A9F87D" w14:textId="4738B79A">
      <w:pPr>
        <w:spacing w:after="0" w:line="264" w:lineRule="auto"/>
        <w:rPr>
          <w:b w:val="1"/>
          <w:bCs w:val="1"/>
          <w:sz w:val="28"/>
          <w:szCs w:val="28"/>
        </w:rPr>
      </w:pPr>
      <w:r w:rsidRPr="56327B7A" w:rsidR="5509DC33">
        <w:rPr>
          <w:b w:val="1"/>
          <w:bCs w:val="1"/>
          <w:sz w:val="28"/>
          <w:szCs w:val="28"/>
        </w:rPr>
        <w:t>ESSENTIAL VAWG RISK MITIGATION ACTIONS</w:t>
      </w:r>
      <w:r w:rsidRPr="56327B7A" w:rsidR="157EAF03">
        <w:rPr>
          <w:b w:val="1"/>
          <w:bCs w:val="1"/>
          <w:sz w:val="28"/>
          <w:szCs w:val="28"/>
        </w:rPr>
        <w:t xml:space="preserve"> - </w:t>
      </w:r>
      <w:r w:rsidRPr="56327B7A" w:rsidR="157EAF03">
        <w:rPr>
          <w:b w:val="1"/>
          <w:bCs w:val="1"/>
          <w:sz w:val="28"/>
          <w:szCs w:val="28"/>
          <w:u w:val="single"/>
        </w:rPr>
        <w:t>SHELTER</w:t>
      </w:r>
    </w:p>
    <w:p w:rsidRPr="00A56401" w:rsidR="00053C71" w:rsidP="00053C71" w:rsidRDefault="00053C71" w14:paraId="5AAEB950" w14:textId="77777777">
      <w:pPr>
        <w:spacing w:after="0" w:line="264" w:lineRule="auto"/>
        <w:rPr>
          <w:i/>
          <w:iCs/>
        </w:rPr>
      </w:pPr>
      <w:r w:rsidRPr="00A56401">
        <w:rPr>
          <w:i/>
          <w:iCs/>
        </w:rPr>
        <w:t>Source: IASC GBV Guidelines</w:t>
      </w:r>
    </w:p>
    <w:p w:rsidRPr="00A56401" w:rsidR="00053C71" w:rsidP="00053C71" w:rsidRDefault="00053C71" w14:paraId="7C080D19" w14:textId="77777777">
      <w:pPr>
        <w:spacing w:after="0" w:line="264" w:lineRule="auto"/>
      </w:pPr>
    </w:p>
    <w:p w:rsidRPr="00053C71" w:rsidR="00053C71" w:rsidP="00053C71" w:rsidRDefault="00053C71" w14:paraId="5BEB6C85" w14:textId="77777777">
      <w:pPr>
        <w:spacing w:after="0" w:line="264" w:lineRule="auto"/>
        <w:rPr>
          <w:i/>
          <w:iCs/>
        </w:rPr>
      </w:pPr>
      <w:proofErr w:type="gramStart"/>
      <w:r w:rsidRPr="00053C71">
        <w:rPr>
          <w:b/>
          <w:bCs/>
          <w:i/>
          <w:iCs/>
        </w:rPr>
        <w:t>Note :</w:t>
      </w:r>
      <w:proofErr w:type="gramEnd"/>
      <w:r w:rsidRPr="00053C71">
        <w:rPr>
          <w:i/>
          <w:iCs/>
        </w:rPr>
        <w:t xml:space="preserve"> successful program implementation strategies will necessarily be dependent on the specific context in which you’re working. The precise intervention that may be successful in improving privacy in an informal collective settlement may not have the same impact as improving safety by fortifying doors in the shelters of female-headed households in a refugee camp, for example. For that reason, the examples provided in this toolkit are not prescriptive: we cannot tell you exactly what is needed or what will work in your specific context.  </w:t>
      </w:r>
    </w:p>
    <w:p w:rsidRPr="00053C71" w:rsidR="00053C71" w:rsidP="00053C71" w:rsidRDefault="00053C71" w14:paraId="71AF0E7E" w14:textId="77777777">
      <w:pPr>
        <w:spacing w:after="0" w:line="264" w:lineRule="auto"/>
        <w:rPr>
          <w:i/>
          <w:iCs/>
        </w:rPr>
      </w:pPr>
    </w:p>
    <w:p w:rsidRPr="00053C71" w:rsidR="00053C71" w:rsidP="00053C71" w:rsidRDefault="00053C71" w14:paraId="63CBF25B" w14:textId="77777777">
      <w:pPr>
        <w:spacing w:after="0" w:line="264" w:lineRule="auto"/>
        <w:rPr>
          <w:i/>
          <w:iCs/>
        </w:rPr>
      </w:pPr>
      <w:r w:rsidRPr="288FC5B8" w:rsidR="00053C71">
        <w:rPr>
          <w:i w:val="1"/>
          <w:iCs w:val="1"/>
        </w:rPr>
        <w:t xml:space="preserve">However, there are some general activities that are consistently good practice for improving safety and access, and/or which can serve as a proven basis from which contextual adaptations can and should be made. In the IASC GBV Guidelines, these are called “Essential Actions,” and they are outlined below. </w:t>
      </w:r>
    </w:p>
    <w:p w:rsidR="288FC5B8" w:rsidP="288FC5B8" w:rsidRDefault="288FC5B8" w14:paraId="33EAD418" w14:textId="34C38647">
      <w:pPr>
        <w:spacing w:after="0" w:line="264" w:lineRule="auto"/>
        <w:rPr>
          <w:i w:val="1"/>
          <w:iCs w:val="1"/>
        </w:rPr>
      </w:pPr>
    </w:p>
    <w:p w:rsidR="18E24056" w:rsidP="288FC5B8" w:rsidRDefault="18E24056" w14:paraId="312EFD4E" w14:textId="0C97C9E9">
      <w:pPr>
        <w:spacing w:after="0" w:line="264" w:lineRule="auto"/>
        <w:rPr>
          <w:i w:val="1"/>
          <w:iCs w:val="1"/>
        </w:rPr>
      </w:pPr>
      <w:r w:rsidRPr="288FC5B8" w:rsidR="18E24056">
        <w:rPr>
          <w:i w:val="1"/>
          <w:iCs w:val="1"/>
        </w:rPr>
        <w:t xml:space="preserve">The Global Shelter Cluster has also developed detailed </w:t>
      </w:r>
      <w:hyperlink r:id="R1b756e5cec514f0d">
        <w:r w:rsidRPr="288FC5B8" w:rsidR="18E24056">
          <w:rPr>
            <w:rStyle w:val="Hyperlink"/>
            <w:i w:val="1"/>
            <w:iCs w:val="1"/>
          </w:rPr>
          <w:t xml:space="preserve">guidance on mitigating GBV risks in Shelter </w:t>
        </w:r>
        <w:r w:rsidRPr="288FC5B8" w:rsidR="18E24056">
          <w:rPr>
            <w:rStyle w:val="Hyperlink"/>
            <w:i w:val="1"/>
            <w:iCs w:val="1"/>
          </w:rPr>
          <w:t>distributions</w:t>
        </w:r>
      </w:hyperlink>
      <w:r w:rsidRPr="288FC5B8" w:rsidR="18E24056">
        <w:rPr>
          <w:i w:val="1"/>
          <w:iCs w:val="1"/>
        </w:rPr>
        <w:t>.</w:t>
      </w:r>
    </w:p>
    <w:p w:rsidR="00053C71" w:rsidP="00053C71" w:rsidRDefault="00053C71" w14:paraId="221D6D32" w14:textId="77777777">
      <w:pPr>
        <w:spacing w:after="0" w:line="264" w:lineRule="auto"/>
      </w:pPr>
    </w:p>
    <w:p w:rsidRPr="00E24974" w:rsidR="00053C71" w:rsidP="00053C71" w:rsidRDefault="00053C71" w14:paraId="5DF2CC5D" w14:textId="77777777">
      <w:pPr>
        <w:spacing w:after="0" w:line="264" w:lineRule="auto"/>
        <w:rPr>
          <w:b/>
          <w:bCs/>
        </w:rPr>
      </w:pPr>
      <w:r w:rsidRPr="00E24974">
        <w:rPr>
          <w:b/>
          <w:bCs/>
        </w:rPr>
        <w:t>PROGRAMMING</w:t>
      </w:r>
    </w:p>
    <w:p w:rsidR="00053C71" w:rsidP="00053C71" w:rsidRDefault="00053C71" w14:paraId="4696E447" w14:textId="77777777">
      <w:pPr>
        <w:spacing w:after="0" w:line="264" w:lineRule="auto"/>
      </w:pPr>
    </w:p>
    <w:p w:rsidR="00053C71" w:rsidP="00053C71" w:rsidRDefault="00053C71" w14:paraId="25C03F20" w14:textId="77777777">
      <w:pPr>
        <w:pStyle w:val="ListParagraph"/>
        <w:numPr>
          <w:ilvl w:val="0"/>
          <w:numId w:val="1"/>
        </w:numPr>
        <w:spacing w:after="0" w:line="264" w:lineRule="auto"/>
      </w:pPr>
      <w:r>
        <w:t xml:space="preserve">Prioritize </w:t>
      </w:r>
      <w:r w:rsidRPr="00E24974">
        <w:rPr>
          <w:b/>
          <w:bCs/>
        </w:rPr>
        <w:t>VAWG risk mitigation in the allocation of shelter materials and in shelter construction</w:t>
      </w:r>
      <w:r>
        <w:t>. For example:</w:t>
      </w:r>
    </w:p>
    <w:p w:rsidR="00053C71" w:rsidP="00053C71" w:rsidRDefault="00053C71" w14:paraId="5B428577" w14:textId="77777777">
      <w:pPr>
        <w:pStyle w:val="ListParagraph"/>
        <w:numPr>
          <w:ilvl w:val="1"/>
          <w:numId w:val="1"/>
        </w:numPr>
        <w:spacing w:after="0" w:line="264" w:lineRule="auto"/>
      </w:pPr>
      <w:r>
        <w:t xml:space="preserve">Implement Sphere standards for space and </w:t>
      </w:r>
      <w:proofErr w:type="gramStart"/>
      <w:r>
        <w:t>density;</w:t>
      </w:r>
      <w:proofErr w:type="gramEnd"/>
      <w:r>
        <w:t xml:space="preserve"> </w:t>
      </w:r>
    </w:p>
    <w:p w:rsidR="00053C71" w:rsidP="00053C71" w:rsidRDefault="00053C71" w14:paraId="22071414" w14:textId="77777777">
      <w:pPr>
        <w:pStyle w:val="ListParagraph"/>
        <w:numPr>
          <w:ilvl w:val="1"/>
          <w:numId w:val="1"/>
        </w:numPr>
        <w:spacing w:after="0" w:line="264" w:lineRule="auto"/>
      </w:pPr>
      <w:r>
        <w:t xml:space="preserve">Provide temporary housing for those at risk of </w:t>
      </w:r>
      <w:proofErr w:type="gramStart"/>
      <w:r>
        <w:t>VAWG;</w:t>
      </w:r>
      <w:proofErr w:type="gramEnd"/>
      <w:r>
        <w:t xml:space="preserve"> </w:t>
      </w:r>
    </w:p>
    <w:p w:rsidR="00053C71" w:rsidP="00053C71" w:rsidRDefault="00053C71" w14:paraId="049A01AF" w14:textId="77777777">
      <w:pPr>
        <w:pStyle w:val="ListParagraph"/>
        <w:numPr>
          <w:ilvl w:val="1"/>
          <w:numId w:val="1"/>
        </w:numPr>
        <w:spacing w:after="0" w:line="264" w:lineRule="auto"/>
      </w:pPr>
      <w:r>
        <w:t xml:space="preserve">Designate women-, adolescent- and child-friendly </w:t>
      </w:r>
      <w:proofErr w:type="gramStart"/>
      <w:r>
        <w:t>spaces;</w:t>
      </w:r>
      <w:proofErr w:type="gramEnd"/>
      <w:r>
        <w:t xml:space="preserve"> </w:t>
      </w:r>
    </w:p>
    <w:p w:rsidRPr="006627F7" w:rsidR="00053C71" w:rsidP="56327B7A" w:rsidRDefault="00053C71" w14:paraId="233F55D1" w14:textId="77777777">
      <w:pPr>
        <w:pStyle w:val="ListParagraph"/>
        <w:numPr>
          <w:ilvl w:val="1"/>
          <w:numId w:val="1"/>
        </w:numPr>
        <w:spacing w:after="0" w:line="264" w:lineRule="auto"/>
        <w:rPr>
          <w:i w:val="1"/>
          <w:iCs w:val="1"/>
        </w:rPr>
      </w:pPr>
      <w:r w:rsidRPr="56327B7A" w:rsidR="5509DC33">
        <w:rPr>
          <w:i w:val="1"/>
          <w:iCs w:val="1"/>
        </w:rPr>
        <w:t>Other according to context</w:t>
      </w:r>
    </w:p>
    <w:p w:rsidR="56327B7A" w:rsidP="56327B7A" w:rsidRDefault="56327B7A" w14:paraId="30187C9F" w14:textId="6E9B46BA">
      <w:pPr>
        <w:pStyle w:val="Normal"/>
        <w:spacing w:after="0" w:line="264" w:lineRule="auto"/>
        <w:rPr>
          <w:i w:val="1"/>
          <w:iCs w:val="1"/>
        </w:rPr>
      </w:pPr>
    </w:p>
    <w:p w:rsidR="00053C71" w:rsidP="00053C71" w:rsidRDefault="00053C71" w14:paraId="4FCBF217" w14:textId="77777777" w14:noSpellErr="1">
      <w:pPr>
        <w:pStyle w:val="ListParagraph"/>
        <w:numPr>
          <w:ilvl w:val="0"/>
          <w:numId w:val="1"/>
        </w:numPr>
        <w:spacing w:after="0" w:line="264" w:lineRule="auto"/>
        <w:rPr/>
      </w:pPr>
      <w:r w:rsidR="0A012549">
        <w:rPr/>
        <w:t xml:space="preserve">Ensure </w:t>
      </w:r>
      <w:r w:rsidRPr="288FC5B8" w:rsidR="0A012549">
        <w:rPr>
          <w:b w:val="1"/>
          <w:bCs w:val="1"/>
        </w:rPr>
        <w:t xml:space="preserve">safe, </w:t>
      </w:r>
      <w:r w:rsidRPr="288FC5B8" w:rsidR="0A012549">
        <w:rPr>
          <w:b w:val="1"/>
          <w:bCs w:val="1"/>
        </w:rPr>
        <w:t>equal</w:t>
      </w:r>
      <w:r w:rsidRPr="288FC5B8" w:rsidR="0A012549">
        <w:rPr>
          <w:b w:val="1"/>
          <w:bCs w:val="1"/>
        </w:rPr>
        <w:t xml:space="preserve"> and impartial </w:t>
      </w:r>
      <w:r w:rsidRPr="288FC5B8" w:rsidR="0A012549">
        <w:rPr>
          <w:b w:val="1"/>
          <w:bCs w:val="1"/>
        </w:rPr>
        <w:t xml:space="preserve">distribution </w:t>
      </w:r>
      <w:r w:rsidRPr="288FC5B8" w:rsidR="0A012549">
        <w:rPr>
          <w:b w:val="1"/>
          <w:bCs w:val="1"/>
        </w:rPr>
        <w:t>of Shelter-related non-food items</w:t>
      </w:r>
      <w:r w:rsidR="0A012549">
        <w:rPr/>
        <w:t xml:space="preserve"> (NFIs). For example: </w:t>
      </w:r>
    </w:p>
    <w:p w:rsidR="00053C71" w:rsidP="00053C71" w:rsidRDefault="00053C71" w14:paraId="5E133AEA" w14:textId="77777777">
      <w:pPr>
        <w:pStyle w:val="ListParagraph"/>
        <w:numPr>
          <w:ilvl w:val="1"/>
          <w:numId w:val="1"/>
        </w:numPr>
        <w:spacing w:after="0" w:line="264" w:lineRule="auto"/>
      </w:pPr>
      <w:r>
        <w:t xml:space="preserve">Establish clear, consistent and transparent distribution </w:t>
      </w:r>
      <w:proofErr w:type="gramStart"/>
      <w:r>
        <w:t>systems;</w:t>
      </w:r>
      <w:proofErr w:type="gramEnd"/>
      <w:r>
        <w:t xml:space="preserve"> </w:t>
      </w:r>
    </w:p>
    <w:p w:rsidR="00053C71" w:rsidP="00053C71" w:rsidRDefault="00053C71" w14:paraId="22C805B1" w14:textId="77777777">
      <w:pPr>
        <w:pStyle w:val="ListParagraph"/>
        <w:numPr>
          <w:ilvl w:val="1"/>
          <w:numId w:val="1"/>
        </w:numPr>
        <w:spacing w:after="0" w:line="264" w:lineRule="auto"/>
      </w:pPr>
      <w:r>
        <w:t>Ensure at-risk groups have safe and equitable access to NFIs (</w:t>
      </w:r>
      <w:proofErr w:type="spellStart"/>
      <w:r>
        <w:t>eg.</w:t>
      </w:r>
      <w:proofErr w:type="spellEnd"/>
      <w:r>
        <w:t xml:space="preserve"> consider size and weight of NFIs, distance to shelters, </w:t>
      </w:r>
      <w:proofErr w:type="gramStart"/>
      <w:r>
        <w:t>etc.;</w:t>
      </w:r>
      <w:proofErr w:type="gramEnd"/>
      <w:r>
        <w:t xml:space="preserve"> </w:t>
      </w:r>
    </w:p>
    <w:p w:rsidRPr="006627F7" w:rsidR="00053C71" w:rsidP="56327B7A" w:rsidRDefault="00053C71" w14:paraId="6E8F133E" w14:textId="77777777">
      <w:pPr>
        <w:pStyle w:val="ListParagraph"/>
        <w:numPr>
          <w:ilvl w:val="1"/>
          <w:numId w:val="1"/>
        </w:numPr>
        <w:spacing w:after="0" w:line="264" w:lineRule="auto"/>
        <w:rPr>
          <w:i w:val="1"/>
          <w:iCs w:val="1"/>
        </w:rPr>
      </w:pPr>
      <w:r w:rsidRPr="56327B7A" w:rsidR="5509DC33">
        <w:rPr>
          <w:i w:val="1"/>
          <w:iCs w:val="1"/>
        </w:rPr>
        <w:t>Other according to context</w:t>
      </w:r>
    </w:p>
    <w:p w:rsidR="56327B7A" w:rsidP="56327B7A" w:rsidRDefault="56327B7A" w14:paraId="3AFE7989" w14:textId="54BA3CD1">
      <w:pPr>
        <w:pStyle w:val="Normal"/>
        <w:spacing w:after="0" w:line="264" w:lineRule="auto"/>
        <w:rPr>
          <w:i w:val="1"/>
          <w:iCs w:val="1"/>
        </w:rPr>
      </w:pPr>
    </w:p>
    <w:p w:rsidR="00053C71" w:rsidP="00053C71" w:rsidRDefault="00053C71" w14:paraId="01E2175B" w14:textId="367DD51D">
      <w:pPr>
        <w:pStyle w:val="ListParagraph"/>
        <w:numPr>
          <w:ilvl w:val="0"/>
          <w:numId w:val="1"/>
        </w:numPr>
        <w:spacing w:after="0" w:line="264" w:lineRule="auto"/>
        <w:rPr/>
      </w:pPr>
      <w:r w:rsidRPr="288FC5B8" w:rsidR="0A012549">
        <w:rPr>
          <w:b w:val="1"/>
          <w:bCs w:val="1"/>
        </w:rPr>
        <w:t>Distribute</w:t>
      </w:r>
      <w:r w:rsidRPr="288FC5B8" w:rsidR="114CF0C7">
        <w:rPr>
          <w:b w:val="1"/>
          <w:bCs w:val="1"/>
        </w:rPr>
        <w:t xml:space="preserve"> stoves/</w:t>
      </w:r>
      <w:r w:rsidRPr="288FC5B8" w:rsidR="0A012549">
        <w:rPr>
          <w:b w:val="1"/>
          <w:bCs w:val="1"/>
        </w:rPr>
        <w:t xml:space="preserve"> </w:t>
      </w:r>
      <w:r w:rsidRPr="288FC5B8" w:rsidR="0A012549">
        <w:rPr>
          <w:b w:val="1"/>
          <w:bCs w:val="1"/>
        </w:rPr>
        <w:t>cooking sets</w:t>
      </w:r>
      <w:r w:rsidRPr="288FC5B8" w:rsidR="0A012549">
        <w:rPr>
          <w:b w:val="1"/>
          <w:bCs w:val="1"/>
        </w:rPr>
        <w:t xml:space="preserve"> and design cooking facilities that reduce consumption of cooking fuel</w:t>
      </w:r>
      <w:r w:rsidR="0A012549">
        <w:rPr/>
        <w:t>, which in turn reduces the need to seek fuel in unsafe areas</w:t>
      </w:r>
    </w:p>
    <w:p w:rsidR="00053C71" w:rsidP="00053C71" w:rsidRDefault="00053C71" w14:paraId="59A6ABD7" w14:textId="77777777">
      <w:pPr>
        <w:spacing w:after="0" w:line="264" w:lineRule="auto"/>
      </w:pPr>
    </w:p>
    <w:p w:rsidRPr="00DA08C1" w:rsidR="00053C71" w:rsidP="00053C71" w:rsidRDefault="00053C71" w14:paraId="6A1B3045" w14:textId="77777777">
      <w:pPr>
        <w:spacing w:after="0" w:line="264" w:lineRule="auto"/>
        <w:rPr>
          <w:b/>
          <w:bCs/>
        </w:rPr>
      </w:pPr>
      <w:r w:rsidRPr="00DA08C1">
        <w:rPr>
          <w:b/>
          <w:bCs/>
        </w:rPr>
        <w:t>POLICIES</w:t>
      </w:r>
    </w:p>
    <w:p w:rsidR="00053C71" w:rsidP="00053C71" w:rsidRDefault="00053C71" w14:paraId="3017BDC1" w14:textId="77777777">
      <w:pPr>
        <w:spacing w:after="0" w:line="264" w:lineRule="auto"/>
      </w:pPr>
    </w:p>
    <w:p w:rsidR="00053C71" w:rsidP="00053C71" w:rsidRDefault="00053C71" w14:paraId="19D7642A" w14:textId="77777777">
      <w:pPr>
        <w:pStyle w:val="ListParagraph"/>
        <w:numPr>
          <w:ilvl w:val="0"/>
          <w:numId w:val="2"/>
        </w:numPr>
        <w:spacing w:after="0" w:line="264" w:lineRule="auto"/>
      </w:pPr>
      <w:r>
        <w:t xml:space="preserve">Advocate for the </w:t>
      </w:r>
      <w:r w:rsidRPr="00DA08C1">
        <w:rPr>
          <w:b/>
          <w:bCs/>
        </w:rPr>
        <w:t>integration of VAWG risk mitigation strategies into national and local policies and plans</w:t>
      </w:r>
      <w:r>
        <w:t xml:space="preserve"> related to Shelter </w:t>
      </w:r>
      <w:proofErr w:type="gramStart"/>
      <w:r>
        <w:t>programming, and</w:t>
      </w:r>
      <w:proofErr w:type="gramEnd"/>
      <w:r>
        <w:t xml:space="preserve"> allocate funding for sustainability. For example: </w:t>
      </w:r>
    </w:p>
    <w:p w:rsidR="00053C71" w:rsidP="00053C71" w:rsidRDefault="00053C71" w14:paraId="772A6AEF" w14:textId="77777777">
      <w:pPr>
        <w:pStyle w:val="ListParagraph"/>
        <w:numPr>
          <w:ilvl w:val="1"/>
          <w:numId w:val="2"/>
        </w:numPr>
        <w:spacing w:after="0" w:line="264" w:lineRule="auto"/>
      </w:pPr>
      <w:r>
        <w:lastRenderedPageBreak/>
        <w:t xml:space="preserve">Address discriminatory practices hindering women, girls and other at-risk groups from safe participation in the Shelter </w:t>
      </w:r>
      <w:proofErr w:type="gramStart"/>
      <w:r>
        <w:t>sector;</w:t>
      </w:r>
      <w:proofErr w:type="gramEnd"/>
      <w:r>
        <w:t xml:space="preserve"> </w:t>
      </w:r>
    </w:p>
    <w:p w:rsidR="00053C71" w:rsidP="00053C71" w:rsidRDefault="00053C71" w14:paraId="31553E33" w14:textId="77777777">
      <w:pPr>
        <w:pStyle w:val="ListParagraph"/>
        <w:numPr>
          <w:ilvl w:val="1"/>
          <w:numId w:val="2"/>
        </w:numPr>
        <w:spacing w:after="0" w:line="264" w:lineRule="auto"/>
      </w:pPr>
      <w:r>
        <w:t xml:space="preserve">Consider the construction of women-, adolescent- and child-friendly spaces and safe shelter from the onset of an </w:t>
      </w:r>
      <w:proofErr w:type="gramStart"/>
      <w:r>
        <w:t>emergency;</w:t>
      </w:r>
      <w:proofErr w:type="gramEnd"/>
      <w:r>
        <w:t xml:space="preserve"> </w:t>
      </w:r>
    </w:p>
    <w:p w:rsidRPr="006627F7" w:rsidR="00053C71" w:rsidP="00053C71" w:rsidRDefault="00053C71" w14:paraId="2E3FE93E" w14:textId="77777777">
      <w:pPr>
        <w:pStyle w:val="ListParagraph"/>
        <w:numPr>
          <w:ilvl w:val="1"/>
          <w:numId w:val="2"/>
        </w:numPr>
        <w:spacing w:after="0" w:line="264" w:lineRule="auto"/>
        <w:rPr>
          <w:i/>
          <w:iCs/>
        </w:rPr>
      </w:pPr>
      <w:r w:rsidRPr="006627F7">
        <w:rPr>
          <w:i/>
          <w:iCs/>
        </w:rPr>
        <w:t>Other according to context</w:t>
      </w:r>
    </w:p>
    <w:p w:rsidR="006E6B8C" w:rsidRDefault="006E6B8C" w14:paraId="2F51DB8E" w14:textId="77777777"/>
    <w:sectPr w:rsidR="006E6B8C" w:rsidSect="001322D3">
      <w:pgSz w:w="12240" w:h="15840" w:orient="portrait"/>
      <w:pgMar w:top="1440" w:right="1440" w:bottom="1440" w:left="1440" w:header="720" w:footer="720" w:gutter="0"/>
      <w:cols w:space="720"/>
      <w:docGrid w:linePitch="360"/>
      <w:titlePg w:val="1"/>
      <w:headerReference w:type="default" r:id="Rfca6e2db520b4c74"/>
      <w:headerReference w:type="first" r:id="Re4eab9465a934542"/>
      <w:footerReference w:type="default" r:id="R242c6fdb7ca94ac5"/>
      <w:footerReference w:type="first" r:id="Rdd6a9e15c3094ee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6327B7A" w:rsidTr="56327B7A" w14:paraId="0E933014">
      <w:trPr>
        <w:trHeight w:val="300"/>
      </w:trPr>
      <w:tc>
        <w:tcPr>
          <w:tcW w:w="3120" w:type="dxa"/>
          <w:tcMar/>
        </w:tcPr>
        <w:p w:rsidR="56327B7A" w:rsidP="56327B7A" w:rsidRDefault="56327B7A" w14:paraId="5A5ED231" w14:textId="49DC68E7">
          <w:pPr>
            <w:pStyle w:val="Header"/>
            <w:bidi w:val="0"/>
            <w:ind w:left="-115"/>
            <w:jc w:val="left"/>
          </w:pPr>
        </w:p>
      </w:tc>
      <w:tc>
        <w:tcPr>
          <w:tcW w:w="3120" w:type="dxa"/>
          <w:tcMar/>
        </w:tcPr>
        <w:p w:rsidR="56327B7A" w:rsidP="56327B7A" w:rsidRDefault="56327B7A" w14:paraId="0E965F3F" w14:textId="27C5C98F">
          <w:pPr>
            <w:pStyle w:val="Header"/>
            <w:bidi w:val="0"/>
            <w:jc w:val="center"/>
          </w:pPr>
        </w:p>
      </w:tc>
      <w:tc>
        <w:tcPr>
          <w:tcW w:w="3120" w:type="dxa"/>
          <w:tcMar/>
        </w:tcPr>
        <w:p w:rsidR="56327B7A" w:rsidP="56327B7A" w:rsidRDefault="56327B7A" w14:paraId="48DBA2F7" w14:textId="548928A4">
          <w:pPr>
            <w:pStyle w:val="Header"/>
            <w:bidi w:val="0"/>
            <w:ind w:right="-115"/>
            <w:jc w:val="right"/>
          </w:pPr>
        </w:p>
      </w:tc>
    </w:tr>
  </w:tbl>
  <w:p w:rsidR="56327B7A" w:rsidP="56327B7A" w:rsidRDefault="56327B7A" w14:paraId="466F6DEE" w14:textId="15A8C965">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6327B7A" w:rsidTr="56327B7A" w14:paraId="5DB3901A">
      <w:trPr>
        <w:trHeight w:val="300"/>
      </w:trPr>
      <w:tc>
        <w:tcPr>
          <w:tcW w:w="3120" w:type="dxa"/>
          <w:tcMar/>
        </w:tcPr>
        <w:p w:rsidR="56327B7A" w:rsidP="56327B7A" w:rsidRDefault="56327B7A" w14:paraId="448F5808" w14:textId="51917014">
          <w:pPr>
            <w:pStyle w:val="Header"/>
            <w:bidi w:val="0"/>
            <w:ind w:left="-115"/>
            <w:jc w:val="left"/>
          </w:pPr>
        </w:p>
      </w:tc>
      <w:tc>
        <w:tcPr>
          <w:tcW w:w="3120" w:type="dxa"/>
          <w:tcMar/>
        </w:tcPr>
        <w:p w:rsidR="56327B7A" w:rsidP="56327B7A" w:rsidRDefault="56327B7A" w14:paraId="5E687EC1" w14:textId="1794856F">
          <w:pPr>
            <w:pStyle w:val="Header"/>
            <w:bidi w:val="0"/>
            <w:jc w:val="center"/>
          </w:pPr>
        </w:p>
      </w:tc>
      <w:tc>
        <w:tcPr>
          <w:tcW w:w="3120" w:type="dxa"/>
          <w:tcMar/>
        </w:tcPr>
        <w:p w:rsidR="56327B7A" w:rsidP="56327B7A" w:rsidRDefault="56327B7A" w14:paraId="0628CF4A" w14:textId="0CFC378B">
          <w:pPr>
            <w:pStyle w:val="Header"/>
            <w:bidi w:val="0"/>
            <w:ind w:right="-115"/>
            <w:jc w:val="right"/>
          </w:pPr>
        </w:p>
      </w:tc>
    </w:tr>
  </w:tbl>
  <w:p w:rsidR="56327B7A" w:rsidP="56327B7A" w:rsidRDefault="56327B7A" w14:paraId="726EA0BE" w14:textId="3E4D6CC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6327B7A" w:rsidTr="56327B7A" w14:paraId="5DB26EB9">
      <w:trPr>
        <w:trHeight w:val="300"/>
      </w:trPr>
      <w:tc>
        <w:tcPr>
          <w:tcW w:w="3120" w:type="dxa"/>
          <w:tcMar/>
        </w:tcPr>
        <w:p w:rsidR="56327B7A" w:rsidP="56327B7A" w:rsidRDefault="56327B7A" w14:paraId="162A68A5" w14:textId="17786F6B">
          <w:pPr>
            <w:pStyle w:val="Header"/>
            <w:bidi w:val="0"/>
            <w:ind w:left="-115"/>
            <w:jc w:val="left"/>
          </w:pPr>
        </w:p>
      </w:tc>
      <w:tc>
        <w:tcPr>
          <w:tcW w:w="3120" w:type="dxa"/>
          <w:tcMar/>
        </w:tcPr>
        <w:p w:rsidR="56327B7A" w:rsidP="56327B7A" w:rsidRDefault="56327B7A" w14:paraId="49A0EB8E" w14:textId="02B82E1A">
          <w:pPr>
            <w:pStyle w:val="Header"/>
            <w:bidi w:val="0"/>
            <w:jc w:val="center"/>
          </w:pPr>
        </w:p>
      </w:tc>
      <w:tc>
        <w:tcPr>
          <w:tcW w:w="3120" w:type="dxa"/>
          <w:tcMar/>
        </w:tcPr>
        <w:p w:rsidR="56327B7A" w:rsidP="56327B7A" w:rsidRDefault="56327B7A" w14:paraId="24F9B45A" w14:textId="03121BE8">
          <w:pPr>
            <w:pStyle w:val="Header"/>
            <w:bidi w:val="0"/>
            <w:ind w:right="-115"/>
            <w:jc w:val="right"/>
          </w:pPr>
        </w:p>
      </w:tc>
    </w:tr>
  </w:tbl>
  <w:p w:rsidR="56327B7A" w:rsidP="56327B7A" w:rsidRDefault="56327B7A" w14:paraId="1512014D" w14:textId="188AEA66">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56327B7A" w:rsidTr="56327B7A" w14:paraId="4AD4C631">
      <w:trPr>
        <w:trHeight w:val="300"/>
      </w:trPr>
      <w:tc>
        <w:tcPr>
          <w:tcW w:w="9360" w:type="dxa"/>
          <w:tcMar/>
        </w:tcPr>
        <w:p w:rsidR="56327B7A" w:rsidP="56327B7A" w:rsidRDefault="56327B7A" w14:paraId="3E469ECD" w14:textId="74467887">
          <w:pPr>
            <w:pStyle w:val="Header"/>
            <w:bidi w:val="0"/>
            <w:ind w:left="-115"/>
            <w:jc w:val="left"/>
          </w:pPr>
          <w:r w:rsidR="56327B7A">
            <w:drawing>
              <wp:inline wp14:editId="65BCED35" wp14:anchorId="74C8DD66">
                <wp:extent cx="5810250" cy="762000"/>
                <wp:effectExtent l="0" t="0" r="0" b="0"/>
                <wp:docPr id="17725859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72585920" name="Picture 177258592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9479577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56327B7A" w:rsidP="56327B7A" w:rsidRDefault="56327B7A" w14:paraId="6A6072FE" w14:textId="41B8A0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97390"/>
    <w:multiLevelType w:val="hybridMultilevel"/>
    <w:tmpl w:val="CC5C84E6"/>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CFD5774"/>
    <w:multiLevelType w:val="hybridMultilevel"/>
    <w:tmpl w:val="9E409D56"/>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82922858">
    <w:abstractNumId w:val="0"/>
  </w:num>
  <w:num w:numId="2" w16cid:durableId="64516342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71"/>
    <w:rsid w:val="00053C71"/>
    <w:rsid w:val="000C3289"/>
    <w:rsid w:val="001322D3"/>
    <w:rsid w:val="0014453F"/>
    <w:rsid w:val="006E6B8C"/>
    <w:rsid w:val="00757634"/>
    <w:rsid w:val="00A863B7"/>
    <w:rsid w:val="00D0059F"/>
    <w:rsid w:val="0719968F"/>
    <w:rsid w:val="0A012549"/>
    <w:rsid w:val="114CF0C7"/>
    <w:rsid w:val="156568B7"/>
    <w:rsid w:val="157EAF03"/>
    <w:rsid w:val="1891EB9A"/>
    <w:rsid w:val="18E24056"/>
    <w:rsid w:val="288FC5B8"/>
    <w:rsid w:val="3097F748"/>
    <w:rsid w:val="4C2D6117"/>
    <w:rsid w:val="526C9C43"/>
    <w:rsid w:val="5509DC33"/>
    <w:rsid w:val="56327B7A"/>
    <w:rsid w:val="5AA27C73"/>
    <w:rsid w:val="7F85F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DA0990"/>
  <w15:chartTrackingRefBased/>
  <w15:docId w15:val="{CD624708-6E5B-9447-98FF-CD7F62C0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3C71"/>
  </w:style>
  <w:style w:type="paragraph" w:styleId="Heading1">
    <w:name w:val="heading 1"/>
    <w:basedOn w:val="Normal"/>
    <w:next w:val="Normal"/>
    <w:link w:val="Heading1Char"/>
    <w:uiPriority w:val="9"/>
    <w:qFormat/>
    <w:rsid w:val="00053C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C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C7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3C7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3C7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3C7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3C7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3C7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3C7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3C7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3C7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3C71"/>
    <w:rPr>
      <w:rFonts w:eastAsiaTheme="majorEastAsia" w:cstheme="majorBidi"/>
      <w:color w:val="272727" w:themeColor="text1" w:themeTint="D8"/>
    </w:rPr>
  </w:style>
  <w:style w:type="paragraph" w:styleId="Title">
    <w:name w:val="Title"/>
    <w:basedOn w:val="Normal"/>
    <w:next w:val="Normal"/>
    <w:link w:val="TitleChar"/>
    <w:uiPriority w:val="10"/>
    <w:qFormat/>
    <w:rsid w:val="00053C7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3C7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3C7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C71"/>
    <w:pPr>
      <w:spacing w:before="160"/>
      <w:jc w:val="center"/>
    </w:pPr>
    <w:rPr>
      <w:i/>
      <w:iCs/>
      <w:color w:val="404040" w:themeColor="text1" w:themeTint="BF"/>
    </w:rPr>
  </w:style>
  <w:style w:type="character" w:styleId="QuoteChar" w:customStyle="1">
    <w:name w:val="Quote Char"/>
    <w:basedOn w:val="DefaultParagraphFont"/>
    <w:link w:val="Quote"/>
    <w:uiPriority w:val="29"/>
    <w:rsid w:val="00053C71"/>
    <w:rPr>
      <w:i/>
      <w:iCs/>
      <w:color w:val="404040" w:themeColor="text1" w:themeTint="BF"/>
    </w:rPr>
  </w:style>
  <w:style w:type="paragraph" w:styleId="ListParagraph">
    <w:name w:val="List Paragraph"/>
    <w:basedOn w:val="Normal"/>
    <w:uiPriority w:val="34"/>
    <w:qFormat/>
    <w:rsid w:val="00053C71"/>
    <w:pPr>
      <w:ind w:left="720"/>
      <w:contextualSpacing/>
    </w:pPr>
  </w:style>
  <w:style w:type="character" w:styleId="IntenseEmphasis">
    <w:name w:val="Intense Emphasis"/>
    <w:basedOn w:val="DefaultParagraphFont"/>
    <w:uiPriority w:val="21"/>
    <w:qFormat/>
    <w:rsid w:val="00053C71"/>
    <w:rPr>
      <w:i/>
      <w:iCs/>
      <w:color w:val="0F4761" w:themeColor="accent1" w:themeShade="BF"/>
    </w:rPr>
  </w:style>
  <w:style w:type="paragraph" w:styleId="IntenseQuote">
    <w:name w:val="Intense Quote"/>
    <w:basedOn w:val="Normal"/>
    <w:next w:val="Normal"/>
    <w:link w:val="IntenseQuoteChar"/>
    <w:uiPriority w:val="30"/>
    <w:qFormat/>
    <w:rsid w:val="00053C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3C71"/>
    <w:rPr>
      <w:i/>
      <w:iCs/>
      <w:color w:val="0F4761" w:themeColor="accent1" w:themeShade="BF"/>
    </w:rPr>
  </w:style>
  <w:style w:type="character" w:styleId="IntenseReference">
    <w:name w:val="Intense Reference"/>
    <w:basedOn w:val="DefaultParagraphFont"/>
    <w:uiPriority w:val="32"/>
    <w:qFormat/>
    <w:rsid w:val="00053C71"/>
    <w:rPr>
      <w:b/>
      <w:bCs/>
      <w:smallCaps/>
      <w:color w:val="0F4761" w:themeColor="accent1" w:themeShade="BF"/>
      <w:spacing w:val="5"/>
    </w:rPr>
  </w:style>
  <w:style w:type="character" w:styleId="Hyperlink">
    <w:uiPriority w:val="99"/>
    <w:name w:val="Hyperlink"/>
    <w:basedOn w:val="DefaultParagraphFont"/>
    <w:unhideWhenUsed/>
    <w:rsid w:val="288FC5B8"/>
    <w:rPr>
      <w:color w:val="467886"/>
      <w:u w:val="single"/>
    </w:rPr>
  </w:style>
  <w:style w:type="paragraph" w:styleId="Header">
    <w:uiPriority w:val="99"/>
    <w:name w:val="header"/>
    <w:basedOn w:val="Normal"/>
    <w:unhideWhenUsed/>
    <w:rsid w:val="56327B7A"/>
    <w:pPr>
      <w:tabs>
        <w:tab w:val="center" w:leader="none" w:pos="4680"/>
        <w:tab w:val="right" w:leader="none" w:pos="9360"/>
      </w:tabs>
      <w:spacing w:after="0" w:line="240" w:lineRule="auto"/>
    </w:pPr>
  </w:style>
  <w:style w:type="paragraph" w:styleId="Footer">
    <w:uiPriority w:val="99"/>
    <w:name w:val="footer"/>
    <w:basedOn w:val="Normal"/>
    <w:unhideWhenUsed/>
    <w:rsid w:val="56327B7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b5c8f89ff99749eb" /><Relationship Type="http://schemas.microsoft.com/office/2011/relationships/commentsExtended" Target="commentsExtended.xml" Id="R5299391056f548d1" /><Relationship Type="http://schemas.microsoft.com/office/2016/09/relationships/commentsIds" Target="commentsIds.xml" Id="R7d860394f0b44a30" /><Relationship Type="http://schemas.openxmlformats.org/officeDocument/2006/relationships/hyperlink" Target="https://unhcr-sheltercluster-static.s3.eu-west-1.amazonaws.com/public/docs/good_distribution_first_edition_web_1.pdf" TargetMode="External" Id="R1b756e5cec514f0d" /><Relationship Type="http://schemas.openxmlformats.org/officeDocument/2006/relationships/header" Target="header.xml" Id="Rfca6e2db520b4c74" /><Relationship Type="http://schemas.openxmlformats.org/officeDocument/2006/relationships/header" Target="header2.xml" Id="Re4eab9465a934542" /><Relationship Type="http://schemas.openxmlformats.org/officeDocument/2006/relationships/footer" Target="footer.xml" Id="R242c6fdb7ca94ac5" /><Relationship Type="http://schemas.openxmlformats.org/officeDocument/2006/relationships/footer" Target="footer2.xml" Id="Rdd6a9e15c3094ee3" /></Relationships>
</file>

<file path=word/_rels/header2.xml.rels>&#65279;<?xml version="1.0" encoding="utf-8"?><Relationships xmlns="http://schemas.openxmlformats.org/package/2006/relationships"><Relationship Type="http://schemas.openxmlformats.org/officeDocument/2006/relationships/image" Target="/media/image.jpg" Id="rId16947957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4</revision>
  <dcterms:created xsi:type="dcterms:W3CDTF">2025-10-16T19:31:00.0000000Z</dcterms:created>
  <dcterms:modified xsi:type="dcterms:W3CDTF">2026-02-27T23:17:06.3221692Z</dcterms:modified>
</coreProperties>
</file>