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401" w:rsidR="00DE45A6" w:rsidP="042F84D2" w:rsidRDefault="00DE45A6" w14:paraId="369A54E8" w14:textId="612DD5EB">
      <w:pPr>
        <w:pStyle w:val="Normal"/>
        <w:spacing w:after="0" w:line="264" w:lineRule="auto"/>
        <w:rPr>
          <w:b w:val="1"/>
          <w:bCs w:val="1"/>
          <w:sz w:val="28"/>
          <w:szCs w:val="28"/>
        </w:rPr>
      </w:pPr>
      <w:r w:rsidRPr="042F84D2" w:rsidR="00DE45A6">
        <w:rPr>
          <w:b w:val="1"/>
          <w:bCs w:val="1"/>
          <w:sz w:val="28"/>
          <w:szCs w:val="28"/>
        </w:rPr>
        <w:t xml:space="preserve"> ESSENTIAL VAWG RISK MITIGATION ACTIONS</w:t>
      </w:r>
      <w:r w:rsidRPr="042F84D2" w:rsidR="1EB7EEBD">
        <w:rPr>
          <w:b w:val="1"/>
          <w:bCs w:val="1"/>
          <w:sz w:val="28"/>
          <w:szCs w:val="28"/>
        </w:rPr>
        <w:t xml:space="preserve"> - </w:t>
      </w:r>
      <w:r w:rsidRPr="042F84D2" w:rsidR="1EB7EEBD">
        <w:rPr>
          <w:rFonts w:ascii="Aptos" w:hAnsi="Aptos" w:eastAsia="Aptos" w:cs="Aptos"/>
          <w:b w:val="1"/>
          <w:bCs w:val="1"/>
          <w:strike w:val="0"/>
          <w:dstrike w:val="0"/>
          <w:noProof w:val="0"/>
          <w:sz w:val="27"/>
          <w:szCs w:val="27"/>
          <w:u w:val="single"/>
          <w:lang w:val="en-US"/>
        </w:rPr>
        <w:t>SITE/SETTLEMENT DESIGN &amp; LAYOUT</w:t>
      </w:r>
    </w:p>
    <w:p w:rsidRPr="00F53159" w:rsidR="00DE45A6" w:rsidP="00DE45A6" w:rsidRDefault="00DE45A6" w14:paraId="59B818D4" w14:textId="77777777">
      <w:pPr>
        <w:spacing w:after="0" w:line="264" w:lineRule="auto"/>
        <w:rPr>
          <w:i/>
          <w:iCs/>
        </w:rPr>
      </w:pPr>
      <w:r w:rsidRPr="00F53159">
        <w:rPr>
          <w:i/>
          <w:iCs/>
        </w:rPr>
        <w:t>Source: IASC GBV Guidelines</w:t>
      </w:r>
    </w:p>
    <w:p w:rsidRPr="00F53159" w:rsidR="00DE45A6" w:rsidP="00DE45A6" w:rsidRDefault="00DE45A6" w14:paraId="069D60F9" w14:textId="77777777">
      <w:pPr>
        <w:spacing w:after="0" w:line="264" w:lineRule="auto"/>
        <w:rPr>
          <w:b/>
          <w:bCs/>
        </w:rPr>
      </w:pPr>
    </w:p>
    <w:p w:rsidRPr="006203E2" w:rsidR="00DE45A6" w:rsidP="00DE45A6" w:rsidRDefault="00DE45A6" w14:paraId="5E9DEFC5" w14:textId="77777777">
      <w:pPr>
        <w:spacing w:after="0" w:line="264" w:lineRule="auto"/>
        <w:rPr>
          <w:i/>
          <w:iCs/>
        </w:rPr>
      </w:pPr>
      <w:proofErr w:type="gramStart"/>
      <w:r w:rsidRPr="006203E2">
        <w:rPr>
          <w:b/>
          <w:bCs/>
          <w:i/>
          <w:iCs/>
        </w:rPr>
        <w:t>Note :</w:t>
      </w:r>
      <w:proofErr w:type="gramEnd"/>
      <w:r w:rsidRPr="006203E2">
        <w:rPr>
          <w:i/>
          <w:iCs/>
        </w:rPr>
        <w:t xml:space="preserve"> successful program implementation strategies will necessarily be dependent on the specific context in which you’re working. The precise intervention that may be successful in mitigating risks associated with site design and layout for disabled IDPs in an urban context may not have the same impact in improving access to services by pregnant adolescent girls in a refugee camp, for example. For that reason, the examples provided in this toolkit are not prescriptive: we cannot tell you exactly what will work in your specific context.  </w:t>
      </w:r>
    </w:p>
    <w:p w:rsidRPr="006203E2" w:rsidR="00DE45A6" w:rsidP="00DE45A6" w:rsidRDefault="00DE45A6" w14:paraId="6C04450F" w14:textId="77777777">
      <w:pPr>
        <w:spacing w:after="0" w:line="264" w:lineRule="auto"/>
        <w:rPr>
          <w:i/>
          <w:iCs/>
        </w:rPr>
      </w:pPr>
    </w:p>
    <w:p w:rsidRPr="006203E2" w:rsidR="00DE45A6" w:rsidP="00DE45A6" w:rsidRDefault="00DE45A6" w14:paraId="7ADA513F" w14:textId="77777777">
      <w:pPr>
        <w:spacing w:after="0" w:line="264" w:lineRule="auto"/>
        <w:rPr>
          <w:i/>
          <w:iCs/>
        </w:rPr>
      </w:pPr>
      <w:r w:rsidRPr="006203E2">
        <w:rPr>
          <w:i/>
          <w:iCs/>
        </w:rPr>
        <w:t xml:space="preserve">However, there are some general activities that are consistently good practice for improving safety and access, and/or which can serve as a proven basis from which contextual adaptations can and should be made. In the IASC GBV Guidelines, these are called “Essential Actions,” and they are outlined below. </w:t>
      </w:r>
    </w:p>
    <w:p w:rsidRPr="002A6BB6" w:rsidR="00DE45A6" w:rsidP="00DE45A6" w:rsidRDefault="00DE45A6" w14:paraId="246BE762" w14:textId="77777777">
      <w:pPr>
        <w:spacing w:after="0" w:line="264" w:lineRule="auto"/>
      </w:pPr>
    </w:p>
    <w:p w:rsidR="00DE45A6" w:rsidP="00DE45A6" w:rsidRDefault="00DE45A6" w14:paraId="5A985A11" w14:textId="77777777">
      <w:pPr>
        <w:spacing w:after="0" w:line="264" w:lineRule="auto"/>
        <w:rPr>
          <w:b/>
          <w:bCs/>
        </w:rPr>
      </w:pPr>
      <w:r>
        <w:rPr>
          <w:b/>
          <w:bCs/>
        </w:rPr>
        <w:t>PROGRAMMING</w:t>
      </w:r>
    </w:p>
    <w:p w:rsidRPr="00B35BA6" w:rsidR="00DE45A6" w:rsidP="00DE45A6" w:rsidRDefault="00DE45A6" w14:paraId="21C4123F" w14:textId="77777777">
      <w:pPr>
        <w:spacing w:after="0" w:line="264" w:lineRule="auto"/>
        <w:rPr>
          <w:b/>
          <w:bCs/>
        </w:rPr>
      </w:pPr>
    </w:p>
    <w:p w:rsidRPr="00B35BA6" w:rsidR="00DE45A6" w:rsidP="00DE45A6" w:rsidRDefault="00DE45A6" w14:paraId="79FCCD14" w14:textId="227F8707">
      <w:pPr>
        <w:pStyle w:val="ListParagraph"/>
        <w:numPr>
          <w:ilvl w:val="0"/>
          <w:numId w:val="1"/>
        </w:numPr>
        <w:spacing w:after="0" w:line="264" w:lineRule="auto"/>
        <w:rPr/>
      </w:pPr>
      <w:r w:rsidR="00DE45A6">
        <w:rPr/>
        <w:t xml:space="preserve">Involve women, adolescent </w:t>
      </w:r>
      <w:r w:rsidR="00DE45A6">
        <w:rPr/>
        <w:t>girls</w:t>
      </w:r>
      <w:r w:rsidR="00DE45A6">
        <w:rPr/>
        <w:t xml:space="preserve"> and </w:t>
      </w:r>
      <w:r w:rsidR="00DE45A6">
        <w:rPr/>
        <w:t>other at-risk groups</w:t>
      </w:r>
      <w:r w:rsidR="612DAD56">
        <w:rPr/>
        <w:t xml:space="preserve"> (for e</w:t>
      </w:r>
      <w:r w:rsidR="612DAD56">
        <w:rPr/>
        <w:t>xample</w:t>
      </w:r>
      <w:r w:rsidR="612DAD56">
        <w:rPr/>
        <w:t xml:space="preserve">, older people, persons living with disabilities, etc.) </w:t>
      </w:r>
      <w:r w:rsidR="00DE45A6">
        <w:rPr/>
        <w:t xml:space="preserve"> </w:t>
      </w:r>
      <w:r w:rsidR="00DE45A6">
        <w:rPr/>
        <w:t xml:space="preserve">as </w:t>
      </w:r>
      <w:r w:rsidRPr="042F84D2" w:rsidR="00DE45A6">
        <w:rPr>
          <w:b w:val="1"/>
          <w:bCs w:val="1"/>
        </w:rPr>
        <w:t>participants and leaders in community-based site governance mechanisms and decision-making structures throughout the entire life cycle of the camp</w:t>
      </w:r>
      <w:r w:rsidR="00DE45A6">
        <w:rPr/>
        <w:t xml:space="preserve"> (with due caution where this poses a potential security risk or increases the risk of VAWG). </w:t>
      </w:r>
    </w:p>
    <w:p w:rsidR="042F84D2" w:rsidP="042F84D2" w:rsidRDefault="042F84D2" w14:paraId="6E82E379" w14:textId="7A1298BD">
      <w:pPr>
        <w:pStyle w:val="Normal"/>
        <w:spacing w:after="0" w:line="264" w:lineRule="auto"/>
      </w:pPr>
    </w:p>
    <w:p w:rsidR="00DE45A6" w:rsidP="00DE45A6" w:rsidRDefault="00DE45A6" w14:paraId="7254826E" w14:textId="77777777">
      <w:pPr>
        <w:pStyle w:val="ListParagraph"/>
        <w:numPr>
          <w:ilvl w:val="0"/>
          <w:numId w:val="1"/>
        </w:numPr>
        <w:spacing w:after="0" w:line="264" w:lineRule="auto"/>
      </w:pPr>
      <w:r>
        <w:t xml:space="preserve">Prioritize VAWG risk mitigation activities in </w:t>
      </w:r>
      <w:r w:rsidRPr="00825187">
        <w:rPr>
          <w:b/>
          <w:bCs/>
        </w:rPr>
        <w:t>camp</w:t>
      </w:r>
      <w:r>
        <w:rPr>
          <w:b/>
          <w:bCs/>
        </w:rPr>
        <w:t>/settlement/site</w:t>
      </w:r>
      <w:r w:rsidRPr="00825187">
        <w:rPr>
          <w:b/>
          <w:bCs/>
        </w:rPr>
        <w:t xml:space="preserve"> planning and set-up</w:t>
      </w:r>
      <w:r>
        <w:rPr>
          <w:b/>
          <w:bCs/>
        </w:rPr>
        <w:t xml:space="preserve">. </w:t>
      </w:r>
      <w:r w:rsidRPr="00DD4F73">
        <w:t>Some e</w:t>
      </w:r>
      <w:r>
        <w:t>xamples include:</w:t>
      </w:r>
    </w:p>
    <w:p w:rsidR="00DE45A6" w:rsidP="00DE45A6" w:rsidRDefault="00DE45A6" w14:paraId="2F1CB411" w14:textId="77777777">
      <w:pPr>
        <w:pStyle w:val="ListParagraph"/>
        <w:numPr>
          <w:ilvl w:val="1"/>
          <w:numId w:val="1"/>
        </w:numPr>
        <w:spacing w:after="0" w:line="264" w:lineRule="auto"/>
      </w:pPr>
      <w:r>
        <w:t>Confidential and non-stigmatizing registration</w:t>
      </w:r>
    </w:p>
    <w:p w:rsidR="00DE45A6" w:rsidP="00DE45A6" w:rsidRDefault="00DE45A6" w14:paraId="7B34BE9F" w14:textId="77777777">
      <w:pPr>
        <w:pStyle w:val="ListParagraph"/>
        <w:numPr>
          <w:ilvl w:val="1"/>
          <w:numId w:val="1"/>
        </w:numPr>
        <w:spacing w:after="0" w:line="264" w:lineRule="auto"/>
      </w:pPr>
      <w:r>
        <w:t>Safety of sleeping areas</w:t>
      </w:r>
    </w:p>
    <w:p w:rsidR="00DE45A6" w:rsidP="00DE45A6" w:rsidRDefault="00DE45A6" w14:paraId="3181E0C9" w14:textId="77777777">
      <w:pPr>
        <w:pStyle w:val="ListParagraph"/>
        <w:numPr>
          <w:ilvl w:val="1"/>
          <w:numId w:val="1"/>
        </w:numPr>
        <w:spacing w:after="0" w:line="264" w:lineRule="auto"/>
      </w:pPr>
      <w:r>
        <w:t>Use of partitions for privacy</w:t>
      </w:r>
    </w:p>
    <w:p w:rsidR="00DE45A6" w:rsidP="00DE45A6" w:rsidRDefault="00DE45A6" w14:paraId="5E993EA2" w14:textId="77777777">
      <w:pPr>
        <w:pStyle w:val="ListParagraph"/>
        <w:numPr>
          <w:ilvl w:val="1"/>
          <w:numId w:val="1"/>
        </w:numPr>
        <w:spacing w:after="0" w:line="264" w:lineRule="auto"/>
      </w:pPr>
      <w:r>
        <w:t>Designated areas for women-, adolescent- and child-friendly spaces</w:t>
      </w:r>
    </w:p>
    <w:p w:rsidR="00DE45A6" w:rsidP="042F84D2" w:rsidRDefault="00DE45A6" w14:paraId="63CBB553" w14:textId="7831AB59">
      <w:pPr>
        <w:pStyle w:val="ListParagraph"/>
        <w:numPr>
          <w:ilvl w:val="1"/>
          <w:numId w:val="1"/>
        </w:numPr>
        <w:spacing w:after="0" w:line="264" w:lineRule="auto"/>
        <w:rPr>
          <w:i w:val="1"/>
          <w:iCs w:val="1"/>
        </w:rPr>
      </w:pPr>
      <w:r w:rsidRPr="042F84D2" w:rsidR="00DE45A6">
        <w:rPr>
          <w:i w:val="1"/>
          <w:iCs w:val="1"/>
        </w:rPr>
        <w:t>Other according to context</w:t>
      </w:r>
    </w:p>
    <w:p w:rsidR="042F84D2" w:rsidP="042F84D2" w:rsidRDefault="042F84D2" w14:paraId="6C5C9FBB" w14:textId="15FDD157">
      <w:pPr>
        <w:pStyle w:val="Normal"/>
        <w:spacing w:after="0" w:line="264" w:lineRule="auto"/>
        <w:rPr>
          <w:i w:val="1"/>
          <w:iCs w:val="1"/>
        </w:rPr>
      </w:pPr>
    </w:p>
    <w:p w:rsidRPr="00825187" w:rsidR="00DE45A6" w:rsidP="00DE45A6" w:rsidRDefault="00DE45A6" w14:paraId="26B4F7E1" w14:textId="77777777">
      <w:pPr>
        <w:pStyle w:val="ListParagraph"/>
        <w:numPr>
          <w:ilvl w:val="0"/>
          <w:numId w:val="1"/>
        </w:numPr>
        <w:spacing w:after="0" w:line="264" w:lineRule="auto"/>
        <w:rPr/>
      </w:pPr>
      <w:r w:rsidR="00DE45A6">
        <w:rPr/>
        <w:t xml:space="preserve">Prioritize VAWG risk mitigation strategies during the </w:t>
      </w:r>
      <w:r w:rsidRPr="042F84D2" w:rsidR="00DE45A6">
        <w:rPr>
          <w:b w:val="1"/>
          <w:bCs w:val="1"/>
        </w:rPr>
        <w:t>care and mai</w:t>
      </w:r>
      <w:r w:rsidRPr="042F84D2" w:rsidR="00DE45A6">
        <w:rPr>
          <w:b w:val="1"/>
          <w:bCs w:val="1"/>
        </w:rPr>
        <w:t>ntenance phase of the camp</w:t>
      </w:r>
      <w:r w:rsidRPr="042F84D2" w:rsidR="00DE45A6">
        <w:rPr>
          <w:b w:val="1"/>
          <w:bCs w:val="1"/>
        </w:rPr>
        <w:t>/settlement/site</w:t>
      </w:r>
      <w:r w:rsidRPr="042F84D2" w:rsidR="00DE45A6">
        <w:rPr>
          <w:b w:val="1"/>
          <w:bCs w:val="1"/>
        </w:rPr>
        <w:t xml:space="preserve"> life cycle</w:t>
      </w:r>
      <w:r w:rsidRPr="042F84D2" w:rsidR="00DE45A6">
        <w:rPr>
          <w:b w:val="1"/>
          <w:bCs w:val="1"/>
        </w:rPr>
        <w:t xml:space="preserve">. </w:t>
      </w:r>
      <w:r w:rsidR="00DE45A6">
        <w:rPr/>
        <w:t xml:space="preserve">Some </w:t>
      </w:r>
      <w:r w:rsidR="00DE45A6">
        <w:rPr/>
        <w:t>e</w:t>
      </w:r>
      <w:r w:rsidR="00DE45A6">
        <w:rPr/>
        <w:t>xamples include:</w:t>
      </w:r>
    </w:p>
    <w:p w:rsidR="00DE45A6" w:rsidP="00DE45A6" w:rsidRDefault="00DE45A6" w14:paraId="079630EF" w14:textId="3A49D237">
      <w:pPr>
        <w:pStyle w:val="ListParagraph"/>
        <w:numPr>
          <w:ilvl w:val="1"/>
          <w:numId w:val="1"/>
        </w:numPr>
        <w:spacing w:after="0" w:line="264" w:lineRule="auto"/>
        <w:rPr/>
      </w:pPr>
      <w:r w:rsidR="00DE45A6">
        <w:rPr/>
        <w:t xml:space="preserve">Undertake frequent and regular checks on site security (see </w:t>
      </w:r>
      <w:hyperlink r:id="Rba180a329e194ce1">
        <w:r w:rsidRPr="042F84D2" w:rsidR="00DE45A6">
          <w:rPr>
            <w:rStyle w:val="Hyperlink"/>
          </w:rPr>
          <w:t>site design and layout safety audit tool</w:t>
        </w:r>
      </w:hyperlink>
      <w:r w:rsidR="00DE45A6">
        <w:rPr/>
        <w:t xml:space="preserve"> </w:t>
      </w:r>
      <w:r w:rsidR="00DE45A6">
        <w:rPr/>
        <w:t>for suggestions on how to do this).</w:t>
      </w:r>
    </w:p>
    <w:p w:rsidR="00DE45A6" w:rsidP="00DE45A6" w:rsidRDefault="00DE45A6" w14:paraId="27DFEB29" w14:textId="77777777">
      <w:pPr>
        <w:pStyle w:val="ListParagraph"/>
        <w:numPr>
          <w:ilvl w:val="1"/>
          <w:numId w:val="1"/>
        </w:numPr>
        <w:spacing w:after="0" w:line="264" w:lineRule="auto"/>
      </w:pPr>
      <w:r>
        <w:t>Create complaint and feedback mechanisms for community</w:t>
      </w:r>
    </w:p>
    <w:p w:rsidRPr="006627F7" w:rsidR="00DE45A6" w:rsidP="042F84D2" w:rsidRDefault="00DE45A6" w14:paraId="544D4F6C" w14:textId="77777777">
      <w:pPr>
        <w:pStyle w:val="ListParagraph"/>
        <w:numPr>
          <w:ilvl w:val="1"/>
          <w:numId w:val="1"/>
        </w:numPr>
        <w:spacing w:after="0" w:line="264" w:lineRule="auto"/>
        <w:rPr>
          <w:i w:val="1"/>
          <w:iCs w:val="1"/>
        </w:rPr>
      </w:pPr>
      <w:r w:rsidRPr="042F84D2" w:rsidR="00DE45A6">
        <w:rPr>
          <w:i w:val="1"/>
          <w:iCs w:val="1"/>
        </w:rPr>
        <w:t>Other according to context</w:t>
      </w:r>
    </w:p>
    <w:p w:rsidR="042F84D2" w:rsidP="042F84D2" w:rsidRDefault="042F84D2" w14:paraId="435954B4" w14:textId="6C29D220">
      <w:pPr>
        <w:pStyle w:val="Normal"/>
        <w:spacing w:after="0" w:line="264" w:lineRule="auto"/>
        <w:ind w:left="0"/>
        <w:rPr>
          <w:i w:val="1"/>
          <w:iCs w:val="1"/>
        </w:rPr>
      </w:pPr>
    </w:p>
    <w:p w:rsidR="00DE45A6" w:rsidP="00DE45A6" w:rsidRDefault="00DE45A6" w14:paraId="34ECBFAC" w14:textId="77777777">
      <w:pPr>
        <w:pStyle w:val="ListParagraph"/>
        <w:numPr>
          <w:ilvl w:val="0"/>
          <w:numId w:val="2"/>
        </w:numPr>
        <w:spacing w:after="0" w:line="264" w:lineRule="auto"/>
        <w:rPr/>
      </w:pPr>
      <w:r w:rsidR="00DE45A6">
        <w:rPr/>
        <w:t xml:space="preserve">Where needed and relevant: work with the community - particularly women, </w:t>
      </w:r>
      <w:r w:rsidR="00DE45A6">
        <w:rPr/>
        <w:t>girls</w:t>
      </w:r>
      <w:r w:rsidR="00DE45A6">
        <w:rPr/>
        <w:t xml:space="preserve"> and other vulnerable groups - to </w:t>
      </w:r>
      <w:r w:rsidR="00DE45A6">
        <w:rPr/>
        <w:t>determine</w:t>
      </w:r>
      <w:r w:rsidR="00DE45A6">
        <w:rPr/>
        <w:t xml:space="preserve"> if/</w:t>
      </w:r>
      <w:r w:rsidRPr="042F84D2" w:rsidR="00DE45A6">
        <w:rPr>
          <w:b w:val="1"/>
          <w:bCs w:val="1"/>
        </w:rPr>
        <w:t>whether safety patrols are desired</w:t>
      </w:r>
      <w:r w:rsidR="00DE45A6">
        <w:rPr/>
        <w:t xml:space="preserve"> and, if so, to </w:t>
      </w:r>
      <w:r w:rsidR="00DE45A6">
        <w:rPr/>
        <w:t>identify</w:t>
      </w:r>
      <w:r w:rsidR="00DE45A6">
        <w:rPr/>
        <w:t xml:space="preserve"> the best safety patrol options (</w:t>
      </w:r>
      <w:r w:rsidR="00DE45A6">
        <w:rPr/>
        <w:t>eg.</w:t>
      </w:r>
      <w:r w:rsidR="00DE45A6">
        <w:rPr/>
        <w:t xml:space="preserve"> patrols by community groups, by law enforcement, other) with the community.</w:t>
      </w:r>
    </w:p>
    <w:p w:rsidR="042F84D2" w:rsidP="042F84D2" w:rsidRDefault="042F84D2" w14:paraId="4E505913" w14:textId="7EE96F8F">
      <w:pPr>
        <w:pStyle w:val="Normal"/>
        <w:spacing w:after="0" w:line="264" w:lineRule="auto"/>
      </w:pPr>
    </w:p>
    <w:p w:rsidR="00DE45A6" w:rsidP="00DE45A6" w:rsidRDefault="00DE45A6" w14:paraId="7981F05D" w14:textId="77777777">
      <w:pPr>
        <w:pStyle w:val="ListParagraph"/>
        <w:numPr>
          <w:ilvl w:val="0"/>
          <w:numId w:val="2"/>
        </w:numPr>
        <w:spacing w:after="0" w:line="264" w:lineRule="auto"/>
      </w:pPr>
      <w:r>
        <w:t>Integrate VAWG risk mitigation into site/settlement/</w:t>
      </w:r>
      <w:r w:rsidRPr="006627F7">
        <w:rPr>
          <w:b/>
          <w:bCs/>
        </w:rPr>
        <w:t>camp closure</w:t>
      </w:r>
      <w:r>
        <w:t xml:space="preserve">. For example: </w:t>
      </w:r>
    </w:p>
    <w:p w:rsidR="00DE45A6" w:rsidP="00DE45A6" w:rsidRDefault="00DE45A6" w14:paraId="08EF198C" w14:textId="77777777">
      <w:pPr>
        <w:pStyle w:val="ListParagraph"/>
        <w:numPr>
          <w:ilvl w:val="1"/>
          <w:numId w:val="2"/>
        </w:numPr>
        <w:spacing w:after="0" w:line="264" w:lineRule="auto"/>
      </w:pPr>
      <w:r>
        <w:lastRenderedPageBreak/>
        <w:t xml:space="preserve">Closely monitor risks for returning/resettling/residual </w:t>
      </w:r>
      <w:proofErr w:type="gramStart"/>
      <w:r>
        <w:t>populations;</w:t>
      </w:r>
      <w:proofErr w:type="gramEnd"/>
      <w:r>
        <w:t xml:space="preserve"> </w:t>
      </w:r>
    </w:p>
    <w:p w:rsidR="00DE45A6" w:rsidP="00DE45A6" w:rsidRDefault="00DE45A6" w14:paraId="57B3C9C7" w14:textId="77777777">
      <w:pPr>
        <w:pStyle w:val="ListParagraph"/>
        <w:numPr>
          <w:ilvl w:val="1"/>
          <w:numId w:val="2"/>
        </w:numPr>
        <w:spacing w:after="0" w:line="264" w:lineRule="auto"/>
      </w:pPr>
      <w:r>
        <w:t xml:space="preserve">Work with VAWG specialists to </w:t>
      </w:r>
      <w:r w:rsidRPr="00B35BA6">
        <w:rPr>
          <w:b/>
          <w:bCs/>
        </w:rPr>
        <w:t>ensure continued delivery of services</w:t>
      </w:r>
      <w:r>
        <w:t xml:space="preserve"> to survivors of VAWG who are exiting </w:t>
      </w:r>
      <w:proofErr w:type="gramStart"/>
      <w:r>
        <w:t>sites;</w:t>
      </w:r>
      <w:proofErr w:type="gramEnd"/>
      <w:r>
        <w:t xml:space="preserve"> </w:t>
      </w:r>
    </w:p>
    <w:p w:rsidRPr="006627F7" w:rsidR="00DE45A6" w:rsidP="00DE45A6" w:rsidRDefault="00DE45A6" w14:paraId="2750C0CB" w14:textId="77777777">
      <w:pPr>
        <w:pStyle w:val="ListParagraph"/>
        <w:numPr>
          <w:ilvl w:val="1"/>
          <w:numId w:val="2"/>
        </w:numPr>
        <w:spacing w:after="0" w:line="264" w:lineRule="auto"/>
        <w:rPr>
          <w:i/>
          <w:iCs/>
        </w:rPr>
      </w:pPr>
      <w:r w:rsidRPr="006627F7">
        <w:rPr>
          <w:i/>
          <w:iCs/>
        </w:rPr>
        <w:t>Other according to context</w:t>
      </w:r>
    </w:p>
    <w:p w:rsidR="00DE45A6" w:rsidP="00DE45A6" w:rsidRDefault="00DE45A6" w14:paraId="6000FBFE" w14:textId="77777777">
      <w:pPr>
        <w:spacing w:after="0" w:line="264" w:lineRule="auto"/>
      </w:pPr>
    </w:p>
    <w:p w:rsidRPr="00B35BA6" w:rsidR="00DE45A6" w:rsidP="00DE45A6" w:rsidRDefault="00DE45A6" w14:paraId="20D02DB8" w14:textId="77777777">
      <w:pPr>
        <w:spacing w:after="0" w:line="264" w:lineRule="auto"/>
        <w:rPr>
          <w:b/>
          <w:bCs/>
        </w:rPr>
      </w:pPr>
      <w:r w:rsidRPr="00B35BA6">
        <w:rPr>
          <w:b/>
          <w:bCs/>
        </w:rPr>
        <w:t>POLICIES</w:t>
      </w:r>
    </w:p>
    <w:p w:rsidR="00DE45A6" w:rsidP="00DE45A6" w:rsidRDefault="00DE45A6" w14:paraId="6D76BBA4" w14:textId="77777777">
      <w:pPr>
        <w:spacing w:after="0" w:line="264" w:lineRule="auto"/>
      </w:pPr>
    </w:p>
    <w:p w:rsidR="00DE45A6" w:rsidP="00DE45A6" w:rsidRDefault="00DE45A6" w14:paraId="7F096D92" w14:textId="77777777">
      <w:pPr>
        <w:pStyle w:val="ListParagraph"/>
        <w:numPr>
          <w:ilvl w:val="0"/>
          <w:numId w:val="3"/>
        </w:numPr>
        <w:spacing w:after="0" w:line="264" w:lineRule="auto"/>
      </w:pPr>
      <w:r>
        <w:t xml:space="preserve">Incorporate relevant VAWG risk mitigation strategies into the </w:t>
      </w:r>
      <w:r w:rsidRPr="00B35BA6">
        <w:rPr>
          <w:b/>
          <w:bCs/>
        </w:rPr>
        <w:t>policies, standards and guidelines of relevant programs</w:t>
      </w:r>
      <w:r>
        <w:t>. For example:</w:t>
      </w:r>
    </w:p>
    <w:p w:rsidR="00DE45A6" w:rsidP="00DE45A6" w:rsidRDefault="00DE45A6" w14:paraId="27BD88EE" w14:textId="77777777">
      <w:pPr>
        <w:pStyle w:val="ListParagraph"/>
        <w:numPr>
          <w:ilvl w:val="1"/>
          <w:numId w:val="3"/>
        </w:numPr>
        <w:spacing w:after="0" w:line="264" w:lineRule="auto"/>
      </w:pPr>
      <w:r>
        <w:t xml:space="preserve">Procedures for food and non-food item </w:t>
      </w:r>
      <w:proofErr w:type="gramStart"/>
      <w:r>
        <w:t>distribution;</w:t>
      </w:r>
      <w:proofErr w:type="gramEnd"/>
      <w:r>
        <w:t xml:space="preserve"> </w:t>
      </w:r>
    </w:p>
    <w:p w:rsidR="00DE45A6" w:rsidP="00DE45A6" w:rsidRDefault="00DE45A6" w14:paraId="2D3AD4EC" w14:textId="77777777">
      <w:pPr>
        <w:pStyle w:val="ListParagraph"/>
        <w:numPr>
          <w:ilvl w:val="1"/>
          <w:numId w:val="3"/>
        </w:numPr>
        <w:spacing w:after="0" w:line="264" w:lineRule="auto"/>
      </w:pPr>
      <w:r>
        <w:t xml:space="preserve">Housing policies for at-risk </w:t>
      </w:r>
      <w:proofErr w:type="gramStart"/>
      <w:r>
        <w:t>groups;</w:t>
      </w:r>
      <w:proofErr w:type="gramEnd"/>
      <w:r>
        <w:t xml:space="preserve"> </w:t>
      </w:r>
    </w:p>
    <w:p w:rsidRPr="00B35BA6" w:rsidR="00DE45A6" w:rsidP="042F84D2" w:rsidRDefault="00DE45A6" w14:paraId="1B6541D8" w14:textId="77777777">
      <w:pPr>
        <w:pStyle w:val="ListParagraph"/>
        <w:numPr>
          <w:ilvl w:val="1"/>
          <w:numId w:val="3"/>
        </w:numPr>
        <w:spacing w:after="0" w:line="264" w:lineRule="auto"/>
        <w:rPr>
          <w:i w:val="1"/>
          <w:iCs w:val="1"/>
        </w:rPr>
      </w:pPr>
      <w:r w:rsidRPr="042F84D2" w:rsidR="00DE45A6">
        <w:rPr>
          <w:i w:val="1"/>
          <w:iCs w:val="1"/>
        </w:rPr>
        <w:t>Other according to context</w:t>
      </w:r>
    </w:p>
    <w:p w:rsidR="042F84D2" w:rsidP="042F84D2" w:rsidRDefault="042F84D2" w14:paraId="572142DE" w14:textId="54ED2EDE">
      <w:pPr>
        <w:pStyle w:val="Normal"/>
        <w:spacing w:after="0" w:line="264" w:lineRule="auto"/>
        <w:rPr>
          <w:i w:val="1"/>
          <w:iCs w:val="1"/>
        </w:rPr>
      </w:pPr>
    </w:p>
    <w:p w:rsidR="00DE45A6" w:rsidP="00DE45A6" w:rsidRDefault="00DE45A6" w14:paraId="169BB970" w14:textId="77777777">
      <w:pPr>
        <w:pStyle w:val="ListParagraph"/>
        <w:numPr>
          <w:ilvl w:val="0"/>
          <w:numId w:val="3"/>
        </w:numPr>
        <w:spacing w:after="0" w:line="264" w:lineRule="auto"/>
      </w:pPr>
      <w:r>
        <w:t xml:space="preserve">Advocate for the integration of VAWG risk mitigation strategies into </w:t>
      </w:r>
      <w:r w:rsidRPr="00B35BA6">
        <w:rPr>
          <w:b/>
          <w:bCs/>
        </w:rPr>
        <w:t>national and local policies and plans</w:t>
      </w:r>
      <w:r>
        <w:t xml:space="preserve"> related to site/settlement design and </w:t>
      </w:r>
      <w:proofErr w:type="gramStart"/>
      <w:r>
        <w:t>layout, and</w:t>
      </w:r>
      <w:proofErr w:type="gramEnd"/>
      <w:r>
        <w:t xml:space="preserve"> allocate funding for sustainability. For example:</w:t>
      </w:r>
    </w:p>
    <w:p w:rsidR="00DE45A6" w:rsidP="00DE45A6" w:rsidRDefault="00DE45A6" w14:paraId="6F25B97A" w14:textId="77777777">
      <w:pPr>
        <w:pStyle w:val="ListParagraph"/>
        <w:numPr>
          <w:ilvl w:val="1"/>
          <w:numId w:val="3"/>
        </w:numPr>
        <w:spacing w:after="0" w:line="264" w:lineRule="auto"/>
      </w:pPr>
      <w:r>
        <w:t xml:space="preserve">Develop or strengthen policies related to the allocation of law enforcement and security </w:t>
      </w:r>
      <w:proofErr w:type="gramStart"/>
      <w:r>
        <w:t>personnel;</w:t>
      </w:r>
      <w:proofErr w:type="gramEnd"/>
      <w:r>
        <w:t xml:space="preserve"> </w:t>
      </w:r>
    </w:p>
    <w:p w:rsidR="00DE45A6" w:rsidP="00DE45A6" w:rsidRDefault="00DE45A6" w14:paraId="15497B94" w14:textId="77777777">
      <w:pPr>
        <w:pStyle w:val="ListParagraph"/>
        <w:numPr>
          <w:ilvl w:val="1"/>
          <w:numId w:val="3"/>
        </w:numPr>
        <w:spacing w:after="0" w:line="264" w:lineRule="auto"/>
      </w:pPr>
      <w:r>
        <w:t xml:space="preserve">Develop site/settlement/camp closure and exit strategies that take risks of VAWG into </w:t>
      </w:r>
      <w:proofErr w:type="gramStart"/>
      <w:r>
        <w:t>consideration;</w:t>
      </w:r>
      <w:proofErr w:type="gramEnd"/>
      <w:r>
        <w:t xml:space="preserve"> </w:t>
      </w:r>
    </w:p>
    <w:p w:rsidRPr="006203E2" w:rsidR="006E6B8C" w:rsidP="006203E2" w:rsidRDefault="00DE45A6" w14:paraId="313BEC09" w14:textId="008A734C">
      <w:pPr>
        <w:pStyle w:val="ListParagraph"/>
        <w:numPr>
          <w:ilvl w:val="1"/>
          <w:numId w:val="3"/>
        </w:numPr>
        <w:spacing w:after="0" w:line="264" w:lineRule="auto"/>
        <w:rPr>
          <w:i/>
          <w:iCs/>
        </w:rPr>
      </w:pPr>
      <w:r w:rsidRPr="00B35BA6">
        <w:rPr>
          <w:i/>
          <w:iCs/>
        </w:rPr>
        <w:t>Other according to context</w:t>
      </w:r>
    </w:p>
    <w:sectPr w:rsidRPr="006203E2" w:rsidR="006E6B8C" w:rsidSect="001322D3">
      <w:pgSz w:w="12240" w:h="15840" w:orient="portrait"/>
      <w:pgMar w:top="1440" w:right="1440" w:bottom="1440" w:left="1440" w:header="720" w:footer="720" w:gutter="0"/>
      <w:cols w:space="720"/>
      <w:docGrid w:linePitch="360"/>
      <w:titlePg w:val="1"/>
      <w:headerReference w:type="default" r:id="R6b95e7942d744ed8"/>
      <w:headerReference w:type="first" r:id="Rdeededa8db1a4ffc"/>
      <w:footerReference w:type="default" r:id="Rd94ed4c9153b4ecb"/>
      <w:footerReference w:type="first" r:id="R5f7c00d23ced4b8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2F84D2" w:rsidTr="042F84D2" w14:paraId="0FDCA27D">
      <w:trPr>
        <w:trHeight w:val="300"/>
      </w:trPr>
      <w:tc>
        <w:tcPr>
          <w:tcW w:w="3120" w:type="dxa"/>
          <w:tcMar/>
        </w:tcPr>
        <w:p w:rsidR="042F84D2" w:rsidP="042F84D2" w:rsidRDefault="042F84D2" w14:paraId="293D8E5F" w14:textId="5775F341">
          <w:pPr>
            <w:pStyle w:val="Header"/>
            <w:bidi w:val="0"/>
            <w:ind w:left="-115"/>
            <w:jc w:val="left"/>
          </w:pPr>
        </w:p>
      </w:tc>
      <w:tc>
        <w:tcPr>
          <w:tcW w:w="3120" w:type="dxa"/>
          <w:tcMar/>
        </w:tcPr>
        <w:p w:rsidR="042F84D2" w:rsidP="042F84D2" w:rsidRDefault="042F84D2" w14:paraId="785EBAAC" w14:textId="51B46BC3">
          <w:pPr>
            <w:pStyle w:val="Header"/>
            <w:bidi w:val="0"/>
            <w:jc w:val="center"/>
          </w:pPr>
        </w:p>
      </w:tc>
      <w:tc>
        <w:tcPr>
          <w:tcW w:w="3120" w:type="dxa"/>
          <w:tcMar/>
        </w:tcPr>
        <w:p w:rsidR="042F84D2" w:rsidP="042F84D2" w:rsidRDefault="042F84D2" w14:paraId="7FBCEE63" w14:textId="2E95E2E9">
          <w:pPr>
            <w:pStyle w:val="Header"/>
            <w:bidi w:val="0"/>
            <w:ind w:right="-115"/>
            <w:jc w:val="right"/>
          </w:pPr>
        </w:p>
      </w:tc>
    </w:tr>
  </w:tbl>
  <w:p w:rsidR="042F84D2" w:rsidP="042F84D2" w:rsidRDefault="042F84D2" w14:paraId="768879CC" w14:textId="7E9496A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2F84D2" w:rsidTr="042F84D2" w14:paraId="2403B876">
      <w:trPr>
        <w:trHeight w:val="300"/>
      </w:trPr>
      <w:tc>
        <w:tcPr>
          <w:tcW w:w="3120" w:type="dxa"/>
          <w:tcMar/>
        </w:tcPr>
        <w:p w:rsidR="042F84D2" w:rsidP="042F84D2" w:rsidRDefault="042F84D2" w14:paraId="66BA7F52" w14:textId="75EEC57C">
          <w:pPr>
            <w:pStyle w:val="Header"/>
            <w:bidi w:val="0"/>
            <w:ind w:left="-115"/>
            <w:jc w:val="left"/>
          </w:pPr>
        </w:p>
      </w:tc>
      <w:tc>
        <w:tcPr>
          <w:tcW w:w="3120" w:type="dxa"/>
          <w:tcMar/>
        </w:tcPr>
        <w:p w:rsidR="042F84D2" w:rsidP="042F84D2" w:rsidRDefault="042F84D2" w14:paraId="69867438" w14:textId="6D1A7B45">
          <w:pPr>
            <w:pStyle w:val="Header"/>
            <w:bidi w:val="0"/>
            <w:jc w:val="center"/>
          </w:pPr>
        </w:p>
      </w:tc>
      <w:tc>
        <w:tcPr>
          <w:tcW w:w="3120" w:type="dxa"/>
          <w:tcMar/>
        </w:tcPr>
        <w:p w:rsidR="042F84D2" w:rsidP="042F84D2" w:rsidRDefault="042F84D2" w14:paraId="79A39D33" w14:textId="72F8935B">
          <w:pPr>
            <w:pStyle w:val="Header"/>
            <w:bidi w:val="0"/>
            <w:ind w:right="-115"/>
            <w:jc w:val="right"/>
          </w:pPr>
        </w:p>
      </w:tc>
    </w:tr>
  </w:tbl>
  <w:p w:rsidR="042F84D2" w:rsidP="042F84D2" w:rsidRDefault="042F84D2" w14:paraId="70327697" w14:textId="3D14689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42F84D2" w:rsidTr="042F84D2" w14:paraId="733BE444">
      <w:trPr>
        <w:trHeight w:val="300"/>
      </w:trPr>
      <w:tc>
        <w:tcPr>
          <w:tcW w:w="3120" w:type="dxa"/>
          <w:tcMar/>
        </w:tcPr>
        <w:p w:rsidR="042F84D2" w:rsidP="042F84D2" w:rsidRDefault="042F84D2" w14:paraId="350B6810" w14:textId="60D3BA47">
          <w:pPr>
            <w:pStyle w:val="Header"/>
            <w:bidi w:val="0"/>
            <w:ind w:left="-115"/>
            <w:jc w:val="left"/>
          </w:pPr>
        </w:p>
      </w:tc>
      <w:tc>
        <w:tcPr>
          <w:tcW w:w="3120" w:type="dxa"/>
          <w:tcMar/>
        </w:tcPr>
        <w:p w:rsidR="042F84D2" w:rsidP="042F84D2" w:rsidRDefault="042F84D2" w14:paraId="28173666" w14:textId="6BBE6D00">
          <w:pPr>
            <w:pStyle w:val="Header"/>
            <w:bidi w:val="0"/>
            <w:jc w:val="center"/>
          </w:pPr>
        </w:p>
      </w:tc>
      <w:tc>
        <w:tcPr>
          <w:tcW w:w="3120" w:type="dxa"/>
          <w:tcMar/>
        </w:tcPr>
        <w:p w:rsidR="042F84D2" w:rsidP="042F84D2" w:rsidRDefault="042F84D2" w14:paraId="3D72DBC2" w14:textId="036AAE7F">
          <w:pPr>
            <w:pStyle w:val="Header"/>
            <w:bidi w:val="0"/>
            <w:ind w:right="-115"/>
            <w:jc w:val="right"/>
          </w:pPr>
        </w:p>
      </w:tc>
    </w:tr>
  </w:tbl>
  <w:p w:rsidR="042F84D2" w:rsidP="042F84D2" w:rsidRDefault="042F84D2" w14:paraId="23B5E62B" w14:textId="4FE91B8A">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042F84D2" w:rsidTr="042F84D2" w14:paraId="4739C3B6">
      <w:trPr>
        <w:trHeight w:val="300"/>
      </w:trPr>
      <w:tc>
        <w:tcPr>
          <w:tcW w:w="9360" w:type="dxa"/>
          <w:tcMar/>
        </w:tcPr>
        <w:p w:rsidR="042F84D2" w:rsidP="042F84D2" w:rsidRDefault="042F84D2" w14:paraId="0042C875" w14:textId="71E52739">
          <w:pPr>
            <w:pStyle w:val="Header"/>
            <w:bidi w:val="0"/>
            <w:ind w:left="-115"/>
            <w:jc w:val="left"/>
          </w:pPr>
          <w:r w:rsidR="042F84D2">
            <w:drawing>
              <wp:inline wp14:editId="12AFF5BD" wp14:anchorId="3D666CBC">
                <wp:extent cx="5810250" cy="762000"/>
                <wp:effectExtent l="0" t="0" r="0" b="0"/>
                <wp:docPr id="2378109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37810952" name="Picture 23781095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205677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042F84D2" w:rsidP="042F84D2" w:rsidRDefault="042F84D2" w14:paraId="62C299D8" w14:textId="37E2767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87C0D"/>
    <w:multiLevelType w:val="hybridMultilevel"/>
    <w:tmpl w:val="3DF65288"/>
    <w:lvl w:ilvl="0" w:tplc="ACB2B0D0">
      <w:start w:val="16"/>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B127F39"/>
    <w:multiLevelType w:val="hybridMultilevel"/>
    <w:tmpl w:val="7D942BAC"/>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A0050E1"/>
    <w:multiLevelType w:val="hybridMultilevel"/>
    <w:tmpl w:val="BD36453A"/>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D481425"/>
    <w:multiLevelType w:val="hybridMultilevel"/>
    <w:tmpl w:val="6532C0C8"/>
    <w:lvl w:ilvl="0" w:tplc="ACB2B0D0">
      <w:start w:val="16"/>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48266584">
    <w:abstractNumId w:val="2"/>
  </w:num>
  <w:num w:numId="2" w16cid:durableId="268051150">
    <w:abstractNumId w:val="3"/>
  </w:num>
  <w:num w:numId="3" w16cid:durableId="1032417022">
    <w:abstractNumId w:val="1"/>
  </w:num>
  <w:num w:numId="4" w16cid:durableId="69161637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5A6"/>
    <w:rsid w:val="000C3289"/>
    <w:rsid w:val="001322D3"/>
    <w:rsid w:val="0014453F"/>
    <w:rsid w:val="006203E2"/>
    <w:rsid w:val="006E6B8C"/>
    <w:rsid w:val="00757634"/>
    <w:rsid w:val="00A863B7"/>
    <w:rsid w:val="00D0059F"/>
    <w:rsid w:val="00DE45A6"/>
    <w:rsid w:val="042F84D2"/>
    <w:rsid w:val="1E6406C6"/>
    <w:rsid w:val="1EB7EEBD"/>
    <w:rsid w:val="2A7DAD1A"/>
    <w:rsid w:val="54FBD249"/>
    <w:rsid w:val="57D28121"/>
    <w:rsid w:val="612DAD56"/>
    <w:rsid w:val="7A15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5D9C8"/>
  <w15:chartTrackingRefBased/>
  <w15:docId w15:val="{757D24F6-6174-D34F-AE28-94FC6C46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45A6"/>
  </w:style>
  <w:style w:type="paragraph" w:styleId="Heading1">
    <w:name w:val="heading 1"/>
    <w:basedOn w:val="Normal"/>
    <w:next w:val="Normal"/>
    <w:link w:val="Heading1Char"/>
    <w:uiPriority w:val="9"/>
    <w:qFormat/>
    <w:rsid w:val="00DE45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5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5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45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E45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45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45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45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45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45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45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45A6"/>
    <w:rPr>
      <w:rFonts w:eastAsiaTheme="majorEastAsia" w:cstheme="majorBidi"/>
      <w:color w:val="272727" w:themeColor="text1" w:themeTint="D8"/>
    </w:rPr>
  </w:style>
  <w:style w:type="paragraph" w:styleId="Title">
    <w:name w:val="Title"/>
    <w:basedOn w:val="Normal"/>
    <w:next w:val="Normal"/>
    <w:link w:val="TitleChar"/>
    <w:uiPriority w:val="10"/>
    <w:qFormat/>
    <w:rsid w:val="00DE45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45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45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4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5A6"/>
    <w:pPr>
      <w:spacing w:before="160"/>
      <w:jc w:val="center"/>
    </w:pPr>
    <w:rPr>
      <w:i/>
      <w:iCs/>
      <w:color w:val="404040" w:themeColor="text1" w:themeTint="BF"/>
    </w:rPr>
  </w:style>
  <w:style w:type="character" w:styleId="QuoteChar" w:customStyle="1">
    <w:name w:val="Quote Char"/>
    <w:basedOn w:val="DefaultParagraphFont"/>
    <w:link w:val="Quote"/>
    <w:uiPriority w:val="29"/>
    <w:rsid w:val="00DE45A6"/>
    <w:rPr>
      <w:i/>
      <w:iCs/>
      <w:color w:val="404040" w:themeColor="text1" w:themeTint="BF"/>
    </w:rPr>
  </w:style>
  <w:style w:type="paragraph" w:styleId="ListParagraph">
    <w:name w:val="List Paragraph"/>
    <w:basedOn w:val="Normal"/>
    <w:uiPriority w:val="34"/>
    <w:qFormat/>
    <w:rsid w:val="00DE45A6"/>
    <w:pPr>
      <w:ind w:left="720"/>
      <w:contextualSpacing/>
    </w:pPr>
  </w:style>
  <w:style w:type="character" w:styleId="IntenseEmphasis">
    <w:name w:val="Intense Emphasis"/>
    <w:basedOn w:val="DefaultParagraphFont"/>
    <w:uiPriority w:val="21"/>
    <w:qFormat/>
    <w:rsid w:val="00DE45A6"/>
    <w:rPr>
      <w:i/>
      <w:iCs/>
      <w:color w:val="0F4761" w:themeColor="accent1" w:themeShade="BF"/>
    </w:rPr>
  </w:style>
  <w:style w:type="paragraph" w:styleId="IntenseQuote">
    <w:name w:val="Intense Quote"/>
    <w:basedOn w:val="Normal"/>
    <w:next w:val="Normal"/>
    <w:link w:val="IntenseQuoteChar"/>
    <w:uiPriority w:val="30"/>
    <w:qFormat/>
    <w:rsid w:val="00DE45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45A6"/>
    <w:rPr>
      <w:i/>
      <w:iCs/>
      <w:color w:val="0F4761" w:themeColor="accent1" w:themeShade="BF"/>
    </w:rPr>
  </w:style>
  <w:style w:type="character" w:styleId="IntenseReference">
    <w:name w:val="Intense Reference"/>
    <w:basedOn w:val="DefaultParagraphFont"/>
    <w:uiPriority w:val="32"/>
    <w:qFormat/>
    <w:rsid w:val="00DE45A6"/>
    <w:rPr>
      <w:b/>
      <w:bCs/>
      <w:smallCaps/>
      <w:color w:val="0F4761" w:themeColor="accent1" w:themeShade="BF"/>
      <w:spacing w:val="5"/>
    </w:rPr>
  </w:style>
  <w:style w:type="character" w:styleId="Hyperlink">
    <w:name w:val="Hyperlink"/>
    <w:basedOn w:val="DefaultParagraphFont"/>
    <w:uiPriority w:val="99"/>
    <w:unhideWhenUsed/>
    <w:rsid w:val="00DE45A6"/>
    <w:rPr>
      <w:color w:val="467886" w:themeColor="hyperlink"/>
      <w:u w:val="single"/>
    </w:rPr>
  </w:style>
  <w:style w:type="character" w:styleId="CommentReference">
    <w:name w:val="annotation reference"/>
    <w:basedOn w:val="DefaultParagraphFont"/>
    <w:uiPriority w:val="99"/>
    <w:semiHidden/>
    <w:unhideWhenUsed/>
    <w:rsid w:val="00DE45A6"/>
    <w:rPr>
      <w:sz w:val="16"/>
      <w:szCs w:val="16"/>
    </w:rPr>
  </w:style>
  <w:style w:type="paragraph" w:styleId="Header">
    <w:uiPriority w:val="99"/>
    <w:name w:val="header"/>
    <w:basedOn w:val="Normal"/>
    <w:unhideWhenUsed/>
    <w:rsid w:val="042F84D2"/>
    <w:pPr>
      <w:tabs>
        <w:tab w:val="center" w:leader="none" w:pos="4680"/>
        <w:tab w:val="right" w:leader="none" w:pos="9360"/>
      </w:tabs>
      <w:spacing w:after="0" w:line="240" w:lineRule="auto"/>
    </w:pPr>
  </w:style>
  <w:style w:type="paragraph" w:styleId="Footer">
    <w:uiPriority w:val="99"/>
    <w:name w:val="footer"/>
    <w:basedOn w:val="Normal"/>
    <w:unhideWhenUsed/>
    <w:rsid w:val="042F84D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gbvguidelines.org/wp/wp-content/uploads/2026/01/Safety-audit_site-design-and-layout.docx" TargetMode="External" Id="Rba180a329e194ce1" /><Relationship Type="http://schemas.openxmlformats.org/officeDocument/2006/relationships/header" Target="header.xml" Id="R6b95e7942d744ed8" /><Relationship Type="http://schemas.openxmlformats.org/officeDocument/2006/relationships/header" Target="header2.xml" Id="Rdeededa8db1a4ffc" /><Relationship Type="http://schemas.openxmlformats.org/officeDocument/2006/relationships/footer" Target="footer.xml" Id="Rd94ed4c9153b4ecb" /><Relationship Type="http://schemas.openxmlformats.org/officeDocument/2006/relationships/footer" Target="footer2.xml" Id="R5f7c00d23ced4b8b" /></Relationships>
</file>

<file path=word/_rels/header2.xml.rels>&#65279;<?xml version="1.0" encoding="utf-8"?><Relationships xmlns="http://schemas.openxmlformats.org/package/2006/relationships"><Relationship Type="http://schemas.openxmlformats.org/officeDocument/2006/relationships/image" Target="/media/image.jpg" Id="rId4205677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5</revision>
  <dcterms:created xsi:type="dcterms:W3CDTF">2025-10-15T19:35:00.0000000Z</dcterms:created>
  <dcterms:modified xsi:type="dcterms:W3CDTF">2026-02-27T23:15:35.9507815Z</dcterms:modified>
</coreProperties>
</file>