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56401" w:rsidR="00B27319" w:rsidP="1413B8C2" w:rsidRDefault="00B27319" w14:paraId="1AA5917A" w14:textId="22D0100C">
      <w:pPr>
        <w:spacing w:after="0" w:line="264" w:lineRule="auto"/>
        <w:rPr>
          <w:b w:val="1"/>
          <w:bCs w:val="1"/>
          <w:sz w:val="28"/>
          <w:szCs w:val="28"/>
        </w:rPr>
      </w:pPr>
      <w:r w:rsidRPr="1413B8C2" w:rsidR="4F982E7B">
        <w:rPr>
          <w:b w:val="1"/>
          <w:bCs w:val="1"/>
          <w:sz w:val="28"/>
          <w:szCs w:val="28"/>
        </w:rPr>
        <w:t>ESSENTIAL VAWG RISK MITIGATION ACTIONS</w:t>
      </w:r>
      <w:r w:rsidRPr="1413B8C2" w:rsidR="11382183">
        <w:rPr>
          <w:b w:val="1"/>
          <w:bCs w:val="1"/>
          <w:sz w:val="28"/>
          <w:szCs w:val="28"/>
        </w:rPr>
        <w:t xml:space="preserve"> - </w:t>
      </w:r>
      <w:r w:rsidRPr="1413B8C2" w:rsidR="11382183">
        <w:rPr>
          <w:b w:val="1"/>
          <w:bCs w:val="1"/>
          <w:sz w:val="28"/>
          <w:szCs w:val="28"/>
          <w:u w:val="single"/>
        </w:rPr>
        <w:t>WASH</w:t>
      </w:r>
    </w:p>
    <w:p w:rsidRPr="00A56401" w:rsidR="00B27319" w:rsidP="00B27319" w:rsidRDefault="00B27319" w14:paraId="5CCAB0A9" w14:textId="77777777">
      <w:pPr>
        <w:spacing w:after="0" w:line="264" w:lineRule="auto"/>
        <w:rPr>
          <w:i/>
          <w:iCs/>
        </w:rPr>
      </w:pPr>
      <w:r w:rsidRPr="00A56401">
        <w:rPr>
          <w:i/>
          <w:iCs/>
        </w:rPr>
        <w:t>Source: IASC GBV Guidelines</w:t>
      </w:r>
    </w:p>
    <w:p w:rsidRPr="00A56401" w:rsidR="00B27319" w:rsidP="00B27319" w:rsidRDefault="00B27319" w14:paraId="66E83E33" w14:textId="77777777">
      <w:pPr>
        <w:spacing w:after="0" w:line="264" w:lineRule="auto"/>
      </w:pPr>
    </w:p>
    <w:p w:rsidRPr="00B27319" w:rsidR="00B27319" w:rsidP="00B27319" w:rsidRDefault="00B27319" w14:paraId="76A71F90" w14:textId="08CEA9FA">
      <w:pPr>
        <w:spacing w:after="0" w:line="264" w:lineRule="auto"/>
        <w:rPr>
          <w:i/>
          <w:iCs/>
        </w:rPr>
      </w:pPr>
      <w:proofErr w:type="gramStart"/>
      <w:r w:rsidRPr="00B27319">
        <w:rPr>
          <w:b/>
          <w:bCs/>
          <w:i/>
          <w:iCs/>
        </w:rPr>
        <w:t>Note :</w:t>
      </w:r>
      <w:proofErr w:type="gramEnd"/>
      <w:r w:rsidRPr="00B27319">
        <w:rPr>
          <w:b/>
          <w:bCs/>
          <w:i/>
          <w:iCs/>
        </w:rPr>
        <w:t xml:space="preserve"> </w:t>
      </w:r>
      <w:r w:rsidRPr="00B27319">
        <w:rPr>
          <w:i/>
          <w:iCs/>
        </w:rPr>
        <w:t>successful program implementation strategies will necessarily be dependent on the specific context in which you’re working. The precise intervention that may be successful in reducing school leaving by adolescent girls through the improvement of MHM in school settings may not have the same impact as reducing open defecation by ensuring safety of latrines through adding locks and appropriate lighting, for example. For that reason, the examples provided in this toolkit are not prescriptive: we cannot tell you exactly what</w:t>
      </w:r>
      <w:r>
        <w:rPr>
          <w:i/>
          <w:iCs/>
        </w:rPr>
        <w:t xml:space="preserve"> is needed or what</w:t>
      </w:r>
      <w:r w:rsidRPr="00B27319">
        <w:rPr>
          <w:i/>
          <w:iCs/>
        </w:rPr>
        <w:t xml:space="preserve"> will work in your specific context.  </w:t>
      </w:r>
    </w:p>
    <w:p w:rsidRPr="00B27319" w:rsidR="00B27319" w:rsidP="00B27319" w:rsidRDefault="00B27319" w14:paraId="0472CCE1" w14:textId="77777777">
      <w:pPr>
        <w:spacing w:after="0" w:line="264" w:lineRule="auto"/>
        <w:rPr>
          <w:i/>
          <w:iCs/>
        </w:rPr>
      </w:pPr>
    </w:p>
    <w:p w:rsidRPr="00B27319" w:rsidR="00B27319" w:rsidP="00B27319" w:rsidRDefault="00B27319" w14:paraId="432A8710" w14:textId="77777777">
      <w:pPr>
        <w:spacing w:after="0" w:line="264" w:lineRule="auto"/>
        <w:rPr>
          <w:i/>
          <w:iCs/>
        </w:rPr>
      </w:pPr>
      <w:r w:rsidRPr="00B27319">
        <w:rPr>
          <w:i/>
          <w:iCs/>
        </w:rPr>
        <w:t xml:space="preserve">However, there are some general activities that are consistently good practice for improving safety and access, and/or which can serve as a proven basis from which contextual adaptations can and should be made. In the IASC GBV Guidelines, these are called “Essential Actions,” and they are outlined below. </w:t>
      </w:r>
    </w:p>
    <w:p w:rsidR="00B27319" w:rsidP="00B27319" w:rsidRDefault="00B27319" w14:paraId="518C5AE9" w14:textId="77777777">
      <w:pPr>
        <w:spacing w:after="0" w:line="264" w:lineRule="auto"/>
      </w:pPr>
    </w:p>
    <w:p w:rsidRPr="00DA08C1" w:rsidR="00B27319" w:rsidP="00B27319" w:rsidRDefault="00B27319" w14:paraId="10887E48" w14:textId="77777777">
      <w:pPr>
        <w:spacing w:after="0" w:line="264" w:lineRule="auto"/>
        <w:rPr>
          <w:b/>
          <w:bCs/>
        </w:rPr>
      </w:pPr>
      <w:r w:rsidRPr="00DA08C1">
        <w:rPr>
          <w:b/>
          <w:bCs/>
        </w:rPr>
        <w:t>PROGRAMMING</w:t>
      </w:r>
    </w:p>
    <w:p w:rsidR="00B27319" w:rsidP="00B27319" w:rsidRDefault="00B27319" w14:paraId="5F613744" w14:textId="77777777">
      <w:pPr>
        <w:spacing w:after="0" w:line="264" w:lineRule="auto"/>
      </w:pPr>
    </w:p>
    <w:p w:rsidR="00B27319" w:rsidP="00B27319" w:rsidRDefault="00B27319" w14:paraId="2F9224DD" w14:textId="77777777">
      <w:pPr>
        <w:pStyle w:val="ListParagraph"/>
        <w:numPr>
          <w:ilvl w:val="0"/>
          <w:numId w:val="1"/>
        </w:numPr>
        <w:spacing w:after="0" w:line="264" w:lineRule="auto"/>
        <w:rPr/>
      </w:pPr>
      <w:r w:rsidR="4F982E7B">
        <w:rPr/>
        <w:t xml:space="preserve">Involve </w:t>
      </w:r>
      <w:r w:rsidRPr="1413B8C2" w:rsidR="4F982E7B">
        <w:rPr>
          <w:b w:val="1"/>
          <w:bCs w:val="1"/>
        </w:rPr>
        <w:t xml:space="preserve">women and other at-risk groups as staff and leaders in the siting, design, construction and maintenance of water and sanitation facilities and in hygiene promotion activities </w:t>
      </w:r>
      <w:r w:rsidR="4F982E7B">
        <w:rPr/>
        <w:t>(with due caution where this poses a potential security risk or increases the risk of GBV)</w:t>
      </w:r>
    </w:p>
    <w:p w:rsidR="1413B8C2" w:rsidP="1413B8C2" w:rsidRDefault="1413B8C2" w14:paraId="2AD27E15" w14:textId="66A5BB7C">
      <w:pPr>
        <w:pStyle w:val="Normal"/>
        <w:spacing w:after="0" w:line="264" w:lineRule="auto"/>
      </w:pPr>
    </w:p>
    <w:p w:rsidR="00B27319" w:rsidP="00B27319" w:rsidRDefault="00B27319" w14:paraId="149D011D" w14:textId="77777777">
      <w:pPr>
        <w:pStyle w:val="ListParagraph"/>
        <w:numPr>
          <w:ilvl w:val="0"/>
          <w:numId w:val="1"/>
        </w:numPr>
        <w:spacing w:after="0" w:line="264" w:lineRule="auto"/>
      </w:pPr>
      <w:r>
        <w:t xml:space="preserve">Implement strategies that </w:t>
      </w:r>
      <w:r w:rsidRPr="00DA08C1">
        <w:rPr>
          <w:b/>
          <w:bCs/>
        </w:rPr>
        <w:t>increase the availability and accessibility of water</w:t>
      </w:r>
      <w:r>
        <w:t xml:space="preserve"> for women, girls and other at-risk groups. For example:</w:t>
      </w:r>
    </w:p>
    <w:p w:rsidR="00B27319" w:rsidP="00B27319" w:rsidRDefault="00B27319" w14:paraId="66406C4E" w14:textId="77777777">
      <w:pPr>
        <w:pStyle w:val="ListParagraph"/>
        <w:numPr>
          <w:ilvl w:val="1"/>
          <w:numId w:val="1"/>
        </w:numPr>
        <w:spacing w:after="0" w:line="264" w:lineRule="auto"/>
      </w:pPr>
      <w:r>
        <w:t xml:space="preserve">Follow Sphere standards for placement of water </w:t>
      </w:r>
      <w:proofErr w:type="gramStart"/>
      <w:r>
        <w:t>points;</w:t>
      </w:r>
      <w:proofErr w:type="gramEnd"/>
      <w:r>
        <w:t xml:space="preserve"> </w:t>
      </w:r>
    </w:p>
    <w:p w:rsidR="00B27319" w:rsidP="00B27319" w:rsidRDefault="00B27319" w14:paraId="5087E412" w14:textId="77777777">
      <w:pPr>
        <w:pStyle w:val="ListParagraph"/>
        <w:numPr>
          <w:ilvl w:val="1"/>
          <w:numId w:val="1"/>
        </w:numPr>
        <w:spacing w:after="0" w:line="264" w:lineRule="auto"/>
      </w:pPr>
      <w:r>
        <w:t xml:space="preserve">Establish ration schedules in collaboration with women, girls and other at-risk </w:t>
      </w:r>
      <w:proofErr w:type="gramStart"/>
      <w:r>
        <w:t>groups;</w:t>
      </w:r>
      <w:proofErr w:type="gramEnd"/>
      <w:r>
        <w:t xml:space="preserve"> </w:t>
      </w:r>
    </w:p>
    <w:p w:rsidR="00B27319" w:rsidP="00B27319" w:rsidRDefault="00B27319" w14:paraId="08456A6C" w14:textId="77777777">
      <w:pPr>
        <w:pStyle w:val="ListParagraph"/>
        <w:numPr>
          <w:ilvl w:val="1"/>
          <w:numId w:val="1"/>
        </w:numPr>
        <w:spacing w:after="0" w:line="264" w:lineRule="auto"/>
      </w:pPr>
      <w:r>
        <w:t xml:space="preserve">Work with receptor/host communities to reduce tension over shared water </w:t>
      </w:r>
      <w:proofErr w:type="gramStart"/>
      <w:r>
        <w:t>resources;</w:t>
      </w:r>
      <w:proofErr w:type="gramEnd"/>
      <w:r>
        <w:t xml:space="preserve"> </w:t>
      </w:r>
    </w:p>
    <w:p w:rsidRPr="008B259C" w:rsidR="00B27319" w:rsidP="00B27319" w:rsidRDefault="00B27319" w14:paraId="6A106994" w14:textId="77777777">
      <w:pPr>
        <w:pStyle w:val="ListParagraph"/>
        <w:numPr>
          <w:ilvl w:val="1"/>
          <w:numId w:val="1"/>
        </w:numPr>
        <w:spacing w:after="0" w:line="264" w:lineRule="auto"/>
        <w:rPr>
          <w:i/>
          <w:iCs/>
        </w:rPr>
      </w:pPr>
      <w:r w:rsidRPr="1413B8C2" w:rsidR="4F982E7B">
        <w:rPr>
          <w:i w:val="1"/>
          <w:iCs w:val="1"/>
        </w:rPr>
        <w:t>Other according to context</w:t>
      </w:r>
    </w:p>
    <w:p w:rsidR="1413B8C2" w:rsidP="1413B8C2" w:rsidRDefault="1413B8C2" w14:paraId="771EF52C" w14:textId="16688ED2">
      <w:pPr>
        <w:pStyle w:val="Normal"/>
        <w:spacing w:after="0" w:line="264" w:lineRule="auto"/>
        <w:rPr>
          <w:i w:val="1"/>
          <w:iCs w:val="1"/>
        </w:rPr>
      </w:pPr>
    </w:p>
    <w:p w:rsidR="00B27319" w:rsidP="00B27319" w:rsidRDefault="00B27319" w14:paraId="12AF4363" w14:textId="77777777">
      <w:pPr>
        <w:pStyle w:val="ListParagraph"/>
        <w:numPr>
          <w:ilvl w:val="0"/>
          <w:numId w:val="1"/>
        </w:numPr>
        <w:spacing w:after="0" w:line="264" w:lineRule="auto"/>
      </w:pPr>
      <w:r>
        <w:t xml:space="preserve">Implement strategies that </w:t>
      </w:r>
      <w:r w:rsidRPr="00DA08C1">
        <w:rPr>
          <w:b/>
          <w:bCs/>
        </w:rPr>
        <w:t>maximize the safety, privacy and dignity of WASH facilities</w:t>
      </w:r>
      <w:r>
        <w:t xml:space="preserve">. For example: </w:t>
      </w:r>
    </w:p>
    <w:p w:rsidR="00B27319" w:rsidP="00B27319" w:rsidRDefault="00B27319" w14:paraId="68B8E0AA" w14:textId="77777777">
      <w:pPr>
        <w:pStyle w:val="ListParagraph"/>
        <w:numPr>
          <w:ilvl w:val="1"/>
          <w:numId w:val="1"/>
        </w:numPr>
        <w:spacing w:after="0" w:line="264" w:lineRule="auto"/>
      </w:pPr>
      <w:r>
        <w:t xml:space="preserve">Location of </w:t>
      </w:r>
      <w:proofErr w:type="gramStart"/>
      <w:r>
        <w:t>facilities;</w:t>
      </w:r>
      <w:proofErr w:type="gramEnd"/>
      <w:r>
        <w:t xml:space="preserve"> </w:t>
      </w:r>
    </w:p>
    <w:p w:rsidR="00B27319" w:rsidP="00B27319" w:rsidRDefault="00B27319" w14:paraId="178FC056" w14:textId="77777777">
      <w:pPr>
        <w:pStyle w:val="ListParagraph"/>
        <w:numPr>
          <w:ilvl w:val="1"/>
          <w:numId w:val="1"/>
        </w:numPr>
        <w:spacing w:after="0" w:line="264" w:lineRule="auto"/>
      </w:pPr>
      <w:r>
        <w:t xml:space="preserve">Safety patrols along </w:t>
      </w:r>
      <w:proofErr w:type="gramStart"/>
      <w:r>
        <w:t>paths;</w:t>
      </w:r>
      <w:proofErr w:type="gramEnd"/>
      <w:r>
        <w:t xml:space="preserve"> </w:t>
      </w:r>
    </w:p>
    <w:p w:rsidR="00B27319" w:rsidP="00B27319" w:rsidRDefault="00B27319" w14:paraId="00D27046" w14:textId="77777777">
      <w:pPr>
        <w:pStyle w:val="ListParagraph"/>
        <w:numPr>
          <w:ilvl w:val="1"/>
          <w:numId w:val="1"/>
        </w:numPr>
        <w:spacing w:after="0" w:line="264" w:lineRule="auto"/>
      </w:pPr>
      <w:r>
        <w:t xml:space="preserve">Adequate and appropriate lighting and </w:t>
      </w:r>
      <w:proofErr w:type="gramStart"/>
      <w:r>
        <w:t>privacy;</w:t>
      </w:r>
      <w:proofErr w:type="gramEnd"/>
      <w:r>
        <w:t xml:space="preserve"> </w:t>
      </w:r>
    </w:p>
    <w:p w:rsidR="00B27319" w:rsidP="00B27319" w:rsidRDefault="00B27319" w14:paraId="2429D66B" w14:textId="77777777">
      <w:pPr>
        <w:pStyle w:val="ListParagraph"/>
        <w:numPr>
          <w:ilvl w:val="1"/>
          <w:numId w:val="1"/>
        </w:numPr>
        <w:spacing w:after="0" w:line="264" w:lineRule="auto"/>
      </w:pPr>
      <w:r>
        <w:t xml:space="preserve">Sturdy internal </w:t>
      </w:r>
      <w:proofErr w:type="gramStart"/>
      <w:r>
        <w:t>locks;</w:t>
      </w:r>
      <w:proofErr w:type="gramEnd"/>
      <w:r>
        <w:t xml:space="preserve"> </w:t>
      </w:r>
    </w:p>
    <w:p w:rsidR="00B27319" w:rsidP="00B27319" w:rsidRDefault="00B27319" w14:paraId="7413880F" w14:textId="77777777">
      <w:pPr>
        <w:pStyle w:val="ListParagraph"/>
        <w:numPr>
          <w:ilvl w:val="1"/>
          <w:numId w:val="1"/>
        </w:numPr>
        <w:spacing w:after="0" w:line="264" w:lineRule="auto"/>
      </w:pPr>
      <w:r>
        <w:t xml:space="preserve">Clearly marked, sex-segregated </w:t>
      </w:r>
      <w:proofErr w:type="gramStart"/>
      <w:r>
        <w:t>facilities;</w:t>
      </w:r>
      <w:proofErr w:type="gramEnd"/>
      <w:r>
        <w:t xml:space="preserve"> </w:t>
      </w:r>
    </w:p>
    <w:p w:rsidR="00B27319" w:rsidP="00B27319" w:rsidRDefault="00B27319" w14:paraId="2C578DD7" w14:textId="77777777">
      <w:pPr>
        <w:pStyle w:val="ListParagraph"/>
        <w:numPr>
          <w:ilvl w:val="1"/>
          <w:numId w:val="1"/>
        </w:numPr>
        <w:spacing w:after="0" w:line="264" w:lineRule="auto"/>
      </w:pPr>
      <w:proofErr w:type="gramStart"/>
      <w:r>
        <w:t>Sufficient numbers of</w:t>
      </w:r>
      <w:proofErr w:type="gramEnd"/>
      <w:r>
        <w:t xml:space="preserve"> facilities based on population </w:t>
      </w:r>
      <w:proofErr w:type="gramStart"/>
      <w:r>
        <w:t>demographics;</w:t>
      </w:r>
      <w:proofErr w:type="gramEnd"/>
    </w:p>
    <w:p w:rsidRPr="008B259C" w:rsidR="00B27319" w:rsidP="00B27319" w:rsidRDefault="00B27319" w14:paraId="35E93FDB" w14:textId="77777777">
      <w:pPr>
        <w:pStyle w:val="ListParagraph"/>
        <w:numPr>
          <w:ilvl w:val="1"/>
          <w:numId w:val="1"/>
        </w:numPr>
        <w:spacing w:after="0" w:line="264" w:lineRule="auto"/>
        <w:rPr>
          <w:i/>
          <w:iCs/>
        </w:rPr>
      </w:pPr>
      <w:r w:rsidRPr="1413B8C2" w:rsidR="4F982E7B">
        <w:rPr>
          <w:i w:val="1"/>
          <w:iCs w:val="1"/>
        </w:rPr>
        <w:t>Other according to context</w:t>
      </w:r>
    </w:p>
    <w:p w:rsidR="1413B8C2" w:rsidP="1413B8C2" w:rsidRDefault="1413B8C2" w14:paraId="12410086" w14:textId="698AE637">
      <w:pPr>
        <w:pStyle w:val="Normal"/>
        <w:spacing w:after="0" w:line="264" w:lineRule="auto"/>
        <w:rPr>
          <w:i w:val="1"/>
          <w:iCs w:val="1"/>
        </w:rPr>
      </w:pPr>
    </w:p>
    <w:p w:rsidRPr="00DA08C1" w:rsidR="00B27319" w:rsidP="00B27319" w:rsidRDefault="00B27319" w14:paraId="50438ABA" w14:textId="77777777">
      <w:pPr>
        <w:pStyle w:val="ListParagraph"/>
        <w:numPr>
          <w:ilvl w:val="0"/>
          <w:numId w:val="1"/>
        </w:numPr>
        <w:spacing w:after="0" w:line="264" w:lineRule="auto"/>
      </w:pPr>
      <w:r>
        <w:lastRenderedPageBreak/>
        <w:t xml:space="preserve">Ensure </w:t>
      </w:r>
      <w:r w:rsidRPr="00DA08C1">
        <w:rPr>
          <w:b/>
          <w:bCs/>
        </w:rPr>
        <w:t>dignified access to hygiene-related materials</w:t>
      </w:r>
      <w:r>
        <w:rPr>
          <w:b/>
          <w:bCs/>
        </w:rPr>
        <w:t>. For example:</w:t>
      </w:r>
    </w:p>
    <w:p w:rsidR="00B27319" w:rsidP="00B27319" w:rsidRDefault="00B27319" w14:paraId="4A2DD710" w14:textId="77777777">
      <w:pPr>
        <w:pStyle w:val="ListParagraph"/>
        <w:numPr>
          <w:ilvl w:val="1"/>
          <w:numId w:val="1"/>
        </w:numPr>
        <w:spacing w:after="0" w:line="264" w:lineRule="auto"/>
      </w:pPr>
      <w:r>
        <w:t xml:space="preserve">Sanitary supplies for women and girls of reproductive </w:t>
      </w:r>
      <w:proofErr w:type="gramStart"/>
      <w:r>
        <w:t>age;</w:t>
      </w:r>
      <w:proofErr w:type="gramEnd"/>
      <w:r>
        <w:t xml:space="preserve"> </w:t>
      </w:r>
    </w:p>
    <w:p w:rsidR="00B27319" w:rsidP="00B27319" w:rsidRDefault="00B27319" w14:paraId="5BA06451" w14:textId="77777777">
      <w:pPr>
        <w:pStyle w:val="ListParagraph"/>
        <w:numPr>
          <w:ilvl w:val="1"/>
          <w:numId w:val="1"/>
        </w:numPr>
        <w:spacing w:after="0" w:line="264" w:lineRule="auto"/>
      </w:pPr>
      <w:r>
        <w:t xml:space="preserve">Washing facilities that allow laundry of menstrual </w:t>
      </w:r>
      <w:proofErr w:type="gramStart"/>
      <w:r>
        <w:t>cloth;</w:t>
      </w:r>
      <w:proofErr w:type="gramEnd"/>
      <w:r>
        <w:t xml:space="preserve"> </w:t>
      </w:r>
    </w:p>
    <w:p w:rsidR="00B27319" w:rsidP="00B27319" w:rsidRDefault="00B27319" w14:paraId="333559A8" w14:textId="77777777">
      <w:pPr>
        <w:pStyle w:val="ListParagraph"/>
        <w:numPr>
          <w:ilvl w:val="1"/>
          <w:numId w:val="1"/>
        </w:numPr>
        <w:spacing w:after="0" w:line="264" w:lineRule="auto"/>
      </w:pPr>
      <w:r>
        <w:t xml:space="preserve">Proper disposal of sanitary </w:t>
      </w:r>
      <w:proofErr w:type="gramStart"/>
      <w:r>
        <w:t>napkins;</w:t>
      </w:r>
      <w:proofErr w:type="gramEnd"/>
      <w:r>
        <w:t xml:space="preserve"> </w:t>
      </w:r>
    </w:p>
    <w:p w:rsidR="006E6B8C" w:rsidP="096B1219" w:rsidRDefault="006E6B8C" w14:paraId="264DA26D" w14:noSpellErr="1" w14:textId="2A23288E">
      <w:pPr>
        <w:pStyle w:val="ListParagraph"/>
        <w:numPr>
          <w:ilvl w:val="1"/>
          <w:numId w:val="1"/>
        </w:numPr>
        <w:spacing w:after="0" w:line="264" w:lineRule="auto"/>
        <w:rPr>
          <w:i w:val="1"/>
          <w:iCs w:val="1"/>
        </w:rPr>
      </w:pPr>
      <w:r w:rsidRPr="096B1219" w:rsidR="48BAC9F9">
        <w:rPr>
          <w:i w:val="1"/>
          <w:iCs w:val="1"/>
        </w:rPr>
        <w:t>Other according to context</w:t>
      </w:r>
    </w:p>
    <w:sectPr w:rsidR="006E6B8C" w:rsidSect="001322D3">
      <w:pgSz w:w="12240" w:h="15840" w:orient="portrait"/>
      <w:pgMar w:top="1440" w:right="1440" w:bottom="1440" w:left="1440" w:header="720" w:footer="720" w:gutter="0"/>
      <w:cols w:space="720"/>
      <w:docGrid w:linePitch="360"/>
      <w:titlePg w:val="1"/>
      <w:headerReference w:type="default" r:id="R4d38c1de57774281"/>
      <w:headerReference w:type="first" r:id="R6b0b3212268640c5"/>
      <w:footerReference w:type="default" r:id="R82d69300d3674d1d"/>
      <w:footerReference w:type="first" r:id="R94ebadbf785f4f4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413B8C2" w:rsidTr="1413B8C2" w14:paraId="77EC9E4B">
      <w:trPr>
        <w:trHeight w:val="300"/>
      </w:trPr>
      <w:tc>
        <w:tcPr>
          <w:tcW w:w="3120" w:type="dxa"/>
          <w:tcMar/>
        </w:tcPr>
        <w:p w:rsidR="1413B8C2" w:rsidP="1413B8C2" w:rsidRDefault="1413B8C2" w14:paraId="1E720477" w14:textId="43DEB6A1">
          <w:pPr>
            <w:pStyle w:val="Header"/>
            <w:bidi w:val="0"/>
            <w:ind w:left="-115"/>
            <w:jc w:val="left"/>
          </w:pPr>
        </w:p>
      </w:tc>
      <w:tc>
        <w:tcPr>
          <w:tcW w:w="3120" w:type="dxa"/>
          <w:tcMar/>
        </w:tcPr>
        <w:p w:rsidR="1413B8C2" w:rsidP="1413B8C2" w:rsidRDefault="1413B8C2" w14:paraId="735E7C7E" w14:textId="38613EA1">
          <w:pPr>
            <w:pStyle w:val="Header"/>
            <w:bidi w:val="0"/>
            <w:jc w:val="center"/>
          </w:pPr>
        </w:p>
      </w:tc>
      <w:tc>
        <w:tcPr>
          <w:tcW w:w="3120" w:type="dxa"/>
          <w:tcMar/>
        </w:tcPr>
        <w:p w:rsidR="1413B8C2" w:rsidP="1413B8C2" w:rsidRDefault="1413B8C2" w14:paraId="76379EAD" w14:textId="6BC3AFC1">
          <w:pPr>
            <w:pStyle w:val="Header"/>
            <w:bidi w:val="0"/>
            <w:ind w:right="-115"/>
            <w:jc w:val="right"/>
          </w:pPr>
        </w:p>
      </w:tc>
    </w:tr>
  </w:tbl>
  <w:p w:rsidR="1413B8C2" w:rsidP="1413B8C2" w:rsidRDefault="1413B8C2" w14:paraId="4BF827E4" w14:textId="1D050CA9">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413B8C2" w:rsidTr="1413B8C2" w14:paraId="629813D3">
      <w:trPr>
        <w:trHeight w:val="300"/>
      </w:trPr>
      <w:tc>
        <w:tcPr>
          <w:tcW w:w="3120" w:type="dxa"/>
          <w:tcMar/>
        </w:tcPr>
        <w:p w:rsidR="1413B8C2" w:rsidP="1413B8C2" w:rsidRDefault="1413B8C2" w14:paraId="7C26C380" w14:textId="07ED3EBA">
          <w:pPr>
            <w:pStyle w:val="Header"/>
            <w:bidi w:val="0"/>
            <w:ind w:left="-115"/>
            <w:jc w:val="left"/>
          </w:pPr>
        </w:p>
      </w:tc>
      <w:tc>
        <w:tcPr>
          <w:tcW w:w="3120" w:type="dxa"/>
          <w:tcMar/>
        </w:tcPr>
        <w:p w:rsidR="1413B8C2" w:rsidP="1413B8C2" w:rsidRDefault="1413B8C2" w14:paraId="0F4B71D0" w14:textId="21BA67CD">
          <w:pPr>
            <w:pStyle w:val="Header"/>
            <w:bidi w:val="0"/>
            <w:jc w:val="center"/>
          </w:pPr>
        </w:p>
      </w:tc>
      <w:tc>
        <w:tcPr>
          <w:tcW w:w="3120" w:type="dxa"/>
          <w:tcMar/>
        </w:tcPr>
        <w:p w:rsidR="1413B8C2" w:rsidP="1413B8C2" w:rsidRDefault="1413B8C2" w14:paraId="6E9C7512" w14:textId="08E1D18D">
          <w:pPr>
            <w:pStyle w:val="Header"/>
            <w:bidi w:val="0"/>
            <w:ind w:right="-115"/>
            <w:jc w:val="right"/>
          </w:pPr>
        </w:p>
      </w:tc>
    </w:tr>
  </w:tbl>
  <w:p w:rsidR="1413B8C2" w:rsidP="1413B8C2" w:rsidRDefault="1413B8C2" w14:paraId="1BAD729A" w14:textId="19F452CB">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413B8C2" w:rsidTr="1413B8C2" w14:paraId="46578205">
      <w:trPr>
        <w:trHeight w:val="300"/>
      </w:trPr>
      <w:tc>
        <w:tcPr>
          <w:tcW w:w="3120" w:type="dxa"/>
          <w:tcMar/>
        </w:tcPr>
        <w:p w:rsidR="1413B8C2" w:rsidP="1413B8C2" w:rsidRDefault="1413B8C2" w14:paraId="2E2C547F" w14:textId="105C1D54">
          <w:pPr>
            <w:pStyle w:val="Header"/>
            <w:bidi w:val="0"/>
            <w:ind w:left="-115"/>
            <w:jc w:val="left"/>
          </w:pPr>
        </w:p>
      </w:tc>
      <w:tc>
        <w:tcPr>
          <w:tcW w:w="3120" w:type="dxa"/>
          <w:tcMar/>
        </w:tcPr>
        <w:p w:rsidR="1413B8C2" w:rsidP="1413B8C2" w:rsidRDefault="1413B8C2" w14:paraId="6ABCBCAC" w14:textId="0D8DA097">
          <w:pPr>
            <w:pStyle w:val="Header"/>
            <w:bidi w:val="0"/>
            <w:jc w:val="center"/>
          </w:pPr>
        </w:p>
      </w:tc>
      <w:tc>
        <w:tcPr>
          <w:tcW w:w="3120" w:type="dxa"/>
          <w:tcMar/>
        </w:tcPr>
        <w:p w:rsidR="1413B8C2" w:rsidP="1413B8C2" w:rsidRDefault="1413B8C2" w14:paraId="1E2001A9" w14:textId="60747061">
          <w:pPr>
            <w:pStyle w:val="Header"/>
            <w:bidi w:val="0"/>
            <w:ind w:right="-115"/>
            <w:jc w:val="right"/>
          </w:pPr>
        </w:p>
      </w:tc>
    </w:tr>
  </w:tbl>
  <w:p w:rsidR="1413B8C2" w:rsidP="1413B8C2" w:rsidRDefault="1413B8C2" w14:paraId="70252A53" w14:textId="177FA624">
    <w:pPr>
      <w:pStyle w:val="Header"/>
      <w:bidi w:val="0"/>
    </w:pPr>
  </w:p>
</w:hd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9360"/>
    </w:tblGrid>
    <w:tr w:rsidR="1413B8C2" w:rsidTr="1413B8C2" w14:paraId="1045E05D">
      <w:trPr>
        <w:trHeight w:val="300"/>
      </w:trPr>
      <w:tc>
        <w:tcPr>
          <w:tcW w:w="9360" w:type="dxa"/>
          <w:tcMar/>
        </w:tcPr>
        <w:p w:rsidR="1413B8C2" w:rsidP="1413B8C2" w:rsidRDefault="1413B8C2" w14:paraId="1F5A4C13" w14:textId="3A36EC63">
          <w:pPr>
            <w:pStyle w:val="Header"/>
            <w:bidi w:val="0"/>
            <w:ind w:left="-115"/>
            <w:jc w:val="left"/>
          </w:pPr>
          <w:r w:rsidR="1413B8C2">
            <w:drawing>
              <wp:inline wp14:editId="2AB45654" wp14:anchorId="18A597E4">
                <wp:extent cx="5810250" cy="762000"/>
                <wp:effectExtent l="0" t="0" r="0" b="0"/>
                <wp:docPr id="55816101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558161013" name="Picture 55816101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126491127">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5810250" cy="762000"/>
                        </a:xfrm>
                        <a:prstGeom xmlns:a="http://schemas.openxmlformats.org/drawingml/2006/main" prst="rect">
                          <a:avLst xmlns:a="http://schemas.openxmlformats.org/drawingml/2006/main"/>
                        </a:prstGeom>
                      </pic:spPr>
                    </pic:pic>
                  </a:graphicData>
                </a:graphic>
              </wp:inline>
            </w:drawing>
          </w:r>
        </w:p>
      </w:tc>
    </w:tr>
  </w:tbl>
  <w:p w:rsidR="1413B8C2" w:rsidP="1413B8C2" w:rsidRDefault="1413B8C2" w14:paraId="3282E23F" w14:textId="029FC18C">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F86781"/>
    <w:multiLevelType w:val="hybridMultilevel"/>
    <w:tmpl w:val="6A941750"/>
    <w:lvl w:ilvl="0" w:tplc="ACB2B0D0">
      <w:start w:val="16"/>
      <w:numFmt w:val="bullet"/>
      <w:lvlText w:val="•"/>
      <w:lvlJc w:val="left"/>
      <w:pPr>
        <w:ind w:left="720" w:hanging="360"/>
      </w:pPr>
      <w:rPr>
        <w:rFonts w:hint="default" w:ascii="Aptos" w:hAnsi="Aptos" w:eastAsiaTheme="minorHAnsi" w:cstheme="minorBid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725987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319"/>
    <w:rsid w:val="000C3289"/>
    <w:rsid w:val="001322D3"/>
    <w:rsid w:val="0014453F"/>
    <w:rsid w:val="006E6B8C"/>
    <w:rsid w:val="00757634"/>
    <w:rsid w:val="00A863B7"/>
    <w:rsid w:val="00B27319"/>
    <w:rsid w:val="00D0059F"/>
    <w:rsid w:val="096B1219"/>
    <w:rsid w:val="11382183"/>
    <w:rsid w:val="1413B8C2"/>
    <w:rsid w:val="1E033D14"/>
    <w:rsid w:val="48BAC9F9"/>
    <w:rsid w:val="4F982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58D8E9"/>
  <w15:chartTrackingRefBased/>
  <w15:docId w15:val="{239D7D40-927A-C64B-A796-F429E2225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27319"/>
  </w:style>
  <w:style w:type="paragraph" w:styleId="Heading1">
    <w:name w:val="heading 1"/>
    <w:basedOn w:val="Normal"/>
    <w:next w:val="Normal"/>
    <w:link w:val="Heading1Char"/>
    <w:uiPriority w:val="9"/>
    <w:qFormat/>
    <w:rsid w:val="00B2731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731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73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73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73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73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73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73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731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2731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2731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2731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2731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2731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2731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2731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2731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27319"/>
    <w:rPr>
      <w:rFonts w:eastAsiaTheme="majorEastAsia" w:cstheme="majorBidi"/>
      <w:color w:val="272727" w:themeColor="text1" w:themeTint="D8"/>
    </w:rPr>
  </w:style>
  <w:style w:type="paragraph" w:styleId="Title">
    <w:name w:val="Title"/>
    <w:basedOn w:val="Normal"/>
    <w:next w:val="Normal"/>
    <w:link w:val="TitleChar"/>
    <w:uiPriority w:val="10"/>
    <w:qFormat/>
    <w:rsid w:val="00B2731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2731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2731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273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7319"/>
    <w:pPr>
      <w:spacing w:before="160"/>
      <w:jc w:val="center"/>
    </w:pPr>
    <w:rPr>
      <w:i/>
      <w:iCs/>
      <w:color w:val="404040" w:themeColor="text1" w:themeTint="BF"/>
    </w:rPr>
  </w:style>
  <w:style w:type="character" w:styleId="QuoteChar" w:customStyle="1">
    <w:name w:val="Quote Char"/>
    <w:basedOn w:val="DefaultParagraphFont"/>
    <w:link w:val="Quote"/>
    <w:uiPriority w:val="29"/>
    <w:rsid w:val="00B27319"/>
    <w:rPr>
      <w:i/>
      <w:iCs/>
      <w:color w:val="404040" w:themeColor="text1" w:themeTint="BF"/>
    </w:rPr>
  </w:style>
  <w:style w:type="paragraph" w:styleId="ListParagraph">
    <w:name w:val="List Paragraph"/>
    <w:basedOn w:val="Normal"/>
    <w:uiPriority w:val="34"/>
    <w:qFormat/>
    <w:rsid w:val="00B27319"/>
    <w:pPr>
      <w:ind w:left="720"/>
      <w:contextualSpacing/>
    </w:pPr>
  </w:style>
  <w:style w:type="character" w:styleId="IntenseEmphasis">
    <w:name w:val="Intense Emphasis"/>
    <w:basedOn w:val="DefaultParagraphFont"/>
    <w:uiPriority w:val="21"/>
    <w:qFormat/>
    <w:rsid w:val="00B27319"/>
    <w:rPr>
      <w:i/>
      <w:iCs/>
      <w:color w:val="0F4761" w:themeColor="accent1" w:themeShade="BF"/>
    </w:rPr>
  </w:style>
  <w:style w:type="paragraph" w:styleId="IntenseQuote">
    <w:name w:val="Intense Quote"/>
    <w:basedOn w:val="Normal"/>
    <w:next w:val="Normal"/>
    <w:link w:val="IntenseQuoteChar"/>
    <w:uiPriority w:val="30"/>
    <w:qFormat/>
    <w:rsid w:val="00B2731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27319"/>
    <w:rPr>
      <w:i/>
      <w:iCs/>
      <w:color w:val="0F4761" w:themeColor="accent1" w:themeShade="BF"/>
    </w:rPr>
  </w:style>
  <w:style w:type="character" w:styleId="IntenseReference">
    <w:name w:val="Intense Reference"/>
    <w:basedOn w:val="DefaultParagraphFont"/>
    <w:uiPriority w:val="32"/>
    <w:qFormat/>
    <w:rsid w:val="00B27319"/>
    <w:rPr>
      <w:b/>
      <w:bCs/>
      <w:smallCaps/>
      <w:color w:val="0F4761" w:themeColor="accent1" w:themeShade="BF"/>
      <w:spacing w:val="5"/>
    </w:rPr>
  </w:style>
  <w:style w:type="paragraph" w:styleId="Header">
    <w:uiPriority w:val="99"/>
    <w:name w:val="header"/>
    <w:basedOn w:val="Normal"/>
    <w:unhideWhenUsed/>
    <w:rsid w:val="1413B8C2"/>
    <w:pPr>
      <w:tabs>
        <w:tab w:val="center" w:leader="none" w:pos="4680"/>
        <w:tab w:val="right" w:leader="none" w:pos="9360"/>
      </w:tabs>
      <w:spacing w:after="0" w:line="240" w:lineRule="auto"/>
    </w:pPr>
  </w:style>
  <w:style w:type="paragraph" w:styleId="Footer">
    <w:uiPriority w:val="99"/>
    <w:name w:val="footer"/>
    <w:basedOn w:val="Normal"/>
    <w:unhideWhenUsed/>
    <w:rsid w:val="1413B8C2"/>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header" Target="header.xml" Id="R4d38c1de57774281" /><Relationship Type="http://schemas.openxmlformats.org/officeDocument/2006/relationships/header" Target="header2.xml" Id="R6b0b3212268640c5" /><Relationship Type="http://schemas.openxmlformats.org/officeDocument/2006/relationships/footer" Target="footer.xml" Id="R82d69300d3674d1d" /><Relationship Type="http://schemas.openxmlformats.org/officeDocument/2006/relationships/footer" Target="footer2.xml" Id="R94ebadbf785f4f4b" /></Relationships>
</file>

<file path=word/_rels/header2.xml.rels>&#65279;<?xml version="1.0" encoding="utf-8"?><Relationships xmlns="http://schemas.openxmlformats.org/package/2006/relationships"><Relationship Type="http://schemas.openxmlformats.org/officeDocument/2006/relationships/image" Target="/media/image.jpg" Id="rId112649112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Erin Patrick</dc:creator>
  <keywords/>
  <dc:description/>
  <lastModifiedBy>Erin Patrick</lastModifiedBy>
  <revision>3</revision>
  <dcterms:created xsi:type="dcterms:W3CDTF">2025-10-16T19:36:00.0000000Z</dcterms:created>
  <dcterms:modified xsi:type="dcterms:W3CDTF">2026-02-27T23:22:58.7275999Z</dcterms:modified>
</coreProperties>
</file>